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Public Members of the Maine-Canadian Legislative Advisory Commission To Receive Reimbursement for Travel Expenses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165 - L.D. 377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Public Members of the Maine-Canadian Legislative Advisory Commission To Receive Reimbursement for Travel Expenses</w:t>
      </w:r>
    </w:p>
    <w:p w:rsidR="000125B0" w:rsidP="000125B0">
      <w:pPr>
        <w:ind w:left="360" w:firstLine="360"/>
        <w:rPr>
          <w:rFonts w:ascii="Arial" w:eastAsia="Arial" w:hAnsi="Arial" w:cs="Arial"/>
        </w:rPr>
      </w:pPr>
      <w:bookmarkStart w:id="0" w:name="_PAR__1_51f562b6_38ce_4c6b_a70e_22bed6c2"/>
      <w:bookmarkStart w:id="1" w:name="_EMERGENCY_PREAMBLE__f50034f7_1d37_4a97_"/>
      <w:bookmarkStart w:id="2" w:name="_DOC_BODY_CONTAINER__306ede75_b5b4_40f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0125B0" w:rsidP="000125B0">
      <w:pPr>
        <w:ind w:left="360" w:firstLine="360"/>
        <w:rPr>
          <w:rFonts w:ascii="Arial" w:eastAsia="Arial" w:hAnsi="Arial" w:cs="Arial"/>
        </w:rPr>
      </w:pPr>
      <w:bookmarkStart w:id="3" w:name="_PAR__2_db964b2e_94be_4950_9e30_6a4b5dd2"/>
      <w:bookmarkEnd w:id="0"/>
      <w:r>
        <w:rPr>
          <w:rFonts w:ascii="Arial" w:eastAsia="Arial" w:hAnsi="Arial" w:cs="Arial"/>
          <w:b/>
          <w:sz w:val="24"/>
        </w:rPr>
        <w:t>Whereas,</w:t>
      </w:r>
      <w:r>
        <w:rPr>
          <w:rFonts w:ascii="Arial" w:eastAsia="Arial" w:hAnsi="Arial" w:cs="Arial"/>
        </w:rPr>
        <w:t xml:space="preserve"> this legislation must take effect before the end of the 90-day period so that public members of the Maine-Canadian Legislative Advisory Commission may have their expenses reimbursed for upcoming conferences; and</w:t>
      </w:r>
    </w:p>
    <w:p w:rsidR="000125B0" w:rsidP="000125B0">
      <w:pPr>
        <w:ind w:left="360" w:firstLine="360"/>
        <w:rPr>
          <w:rFonts w:ascii="Arial" w:eastAsia="Arial" w:hAnsi="Arial" w:cs="Arial"/>
        </w:rPr>
      </w:pPr>
      <w:bookmarkStart w:id="4" w:name="_PAR__3_15eb078b_459b_465c_873c_ac90d0a6"/>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0125B0" w:rsidP="000125B0">
      <w:pPr>
        <w:ind w:left="360"/>
        <w:rPr>
          <w:rFonts w:ascii="Arial" w:eastAsia="Arial" w:hAnsi="Arial" w:cs="Arial"/>
        </w:rPr>
      </w:pPr>
      <w:bookmarkStart w:id="5" w:name="_ENACTING_CLAUSE__a88a87ed_981b_46e1_adb"/>
      <w:bookmarkStart w:id="6" w:name="_PAR__4_702a8fa3_1534_4c75_b93a_cb3253cf"/>
      <w:bookmarkEnd w:id="1"/>
      <w:bookmarkEnd w:id="4"/>
      <w:r>
        <w:rPr>
          <w:rFonts w:ascii="Arial" w:eastAsia="Arial" w:hAnsi="Arial" w:cs="Arial"/>
          <w:b/>
        </w:rPr>
        <w:t>Be it enacted by the People of the State of Maine as follows:</w:t>
      </w:r>
    </w:p>
    <w:p w:rsidR="000125B0" w:rsidP="000125B0">
      <w:pPr>
        <w:ind w:left="360" w:firstLine="360"/>
        <w:rPr>
          <w:rFonts w:ascii="Arial" w:eastAsia="Arial" w:hAnsi="Arial" w:cs="Arial"/>
        </w:rPr>
      </w:pPr>
      <w:bookmarkStart w:id="7" w:name="_BILL_SECTION_HEADER__3cf51466_8247_4c51"/>
      <w:bookmarkStart w:id="8" w:name="_PAR__5_b28a0c06_5c30_4795_88cf_4ffaa482"/>
      <w:bookmarkStart w:id="9" w:name="_BILL_SECTION__3578b3ca_4deb_48f1_ac43_e"/>
      <w:bookmarkStart w:id="10" w:name="_DOC_BODY_CONTENT__6075abb7_81a5_4572_9a"/>
      <w:bookmarkEnd w:id="5"/>
      <w:bookmarkEnd w:id="6"/>
      <w:r>
        <w:rPr>
          <w:rFonts w:ascii="Arial" w:eastAsia="Arial" w:hAnsi="Arial" w:cs="Arial"/>
          <w:b/>
          <w:sz w:val="24"/>
        </w:rPr>
        <w:t xml:space="preserve">Sec. </w:t>
      </w:r>
      <w:bookmarkStart w:id="11" w:name="_BILL_SECTION_NUMBER__1c6a4ff7_4b95_491d"/>
      <w:r>
        <w:rPr>
          <w:rFonts w:ascii="Arial" w:eastAsia="Arial" w:hAnsi="Arial" w:cs="Arial"/>
          <w:b/>
          <w:sz w:val="24"/>
        </w:rPr>
        <w:t>1</w:t>
      </w:r>
      <w:bookmarkEnd w:id="11"/>
      <w:r>
        <w:rPr>
          <w:rFonts w:ascii="Arial" w:eastAsia="Arial" w:hAnsi="Arial" w:cs="Arial"/>
          <w:b/>
          <w:sz w:val="24"/>
        </w:rPr>
        <w:t>.  5 MRSA §12004-K, sub-§10,</w:t>
      </w:r>
      <w:r>
        <w:rPr>
          <w:rFonts w:ascii="Arial" w:eastAsia="Arial" w:hAnsi="Arial" w:cs="Arial"/>
        </w:rPr>
        <w:t xml:space="preserve"> as enacted by PL 1987, c. 786, §5, is amended to read:</w:t>
      </w:r>
    </w:p>
    <w:p w:rsidR="000125B0" w:rsidP="000125B0">
      <w:pPr>
        <w:ind w:left="360" w:firstLine="360"/>
        <w:rPr>
          <w:rFonts w:ascii="Arial" w:eastAsia="Arial" w:hAnsi="Arial" w:cs="Arial"/>
        </w:rPr>
      </w:pPr>
      <w:bookmarkStart w:id="12" w:name="_STATUTE_NUMBER__aa6afff1_f6a5_4efb_831b"/>
      <w:bookmarkStart w:id="13" w:name="_PAR__6_a2555cf5_6b8c_48ab_ac54_346abbbf"/>
      <w:bookmarkStart w:id="14" w:name="_STATUTE_SS__9bee7b59_fc96_4fdf_87b5_fed"/>
      <w:bookmarkEnd w:id="7"/>
      <w:bookmarkEnd w:id="8"/>
      <w:r>
        <w:rPr>
          <w:rFonts w:ascii="Arial" w:eastAsia="Arial" w:hAnsi="Arial" w:cs="Arial"/>
          <w:b/>
        </w:rPr>
        <w:t>10</w:t>
      </w:r>
      <w:bookmarkEnd w:id="12"/>
      <w:r>
        <w:rPr>
          <w:rFonts w:ascii="Arial" w:eastAsia="Arial" w:hAnsi="Arial" w:cs="Arial"/>
          <w:b/>
        </w:rPr>
        <w:t xml:space="preserve">.  </w:t>
      </w:r>
    </w:p>
    <w:tbl>
      <w:tblPr>
        <w:tblStyle w:val="BPSTable"/>
        <w:tblW w:w="0" w:type="dxa"/>
        <w:tblInd w:w="360" w:type="dxa"/>
        <w:tblCellMar>
          <w:left w:w="0" w:type="dxa"/>
          <w:right w:w="0" w:type="dxa"/>
        </w:tblCellMar>
        <w:tblLook w:val="04A0"/>
      </w:tblPr>
      <w:tblGrid>
        <w:gridCol w:w="1480"/>
        <w:gridCol w:w="2946"/>
        <w:gridCol w:w="1869"/>
        <w:gridCol w:w="1640"/>
      </w:tblGrid>
      <w:tr w:rsidTr="004C68FA">
        <w:tblPrEx>
          <w:tblW w:w="0" w:type="dxa"/>
          <w:tblInd w:w="360" w:type="dxa"/>
          <w:tblCellMar>
            <w:left w:w="0" w:type="dxa"/>
            <w:right w:w="0" w:type="dxa"/>
          </w:tblCellMar>
          <w:tblLook w:val="04A0"/>
        </w:tblPrEx>
        <w:tc>
          <w:tcPr>
            <w:tcW w:w="1555" w:type="dxa"/>
          </w:tcPr>
          <w:p w:rsidR="000125B0" w:rsidP="004C68FA">
            <w:pPr>
              <w:rPr>
                <w:rFonts w:ascii="Arial" w:eastAsia="Arial" w:hAnsi="Arial" w:cs="Arial"/>
              </w:rPr>
            </w:pPr>
            <w:bookmarkStart w:id="15" w:name="_STATUTE_CONTENT__6ff57a63_a0fd_412e_932"/>
            <w:bookmarkStart w:id="16" w:name="_PAR__7_d7017261_d797_4565_a719_9400599f"/>
            <w:bookmarkEnd w:id="13"/>
            <w:r>
              <w:rPr>
                <w:rFonts w:ascii="Arial" w:eastAsia="Arial" w:hAnsi="Arial" w:cs="Arial"/>
              </w:rPr>
              <w:t>State Government</w:t>
            </w:r>
          </w:p>
        </w:tc>
        <w:tc>
          <w:tcPr>
            <w:tcW w:w="3312" w:type="dxa"/>
          </w:tcPr>
          <w:p w:rsidR="000125B0" w:rsidP="004C68FA">
            <w:pPr>
              <w:rPr>
                <w:rFonts w:ascii="Arial" w:eastAsia="Arial" w:hAnsi="Arial" w:cs="Arial"/>
              </w:rPr>
            </w:pPr>
            <w:r>
              <w:rPr>
                <w:rFonts w:ascii="Arial" w:eastAsia="Arial" w:hAnsi="Arial" w:cs="Arial"/>
              </w:rPr>
              <w:t>Maine-Canadian Legislative Advisory Commission</w:t>
            </w:r>
          </w:p>
        </w:tc>
        <w:tc>
          <w:tcPr>
            <w:tcW w:w="2045" w:type="dxa"/>
          </w:tcPr>
          <w:p w:rsidR="000125B0" w:rsidP="004C68FA">
            <w:pPr>
              <w:rPr>
                <w:rFonts w:ascii="Arial" w:eastAsia="Arial" w:hAnsi="Arial" w:cs="Arial"/>
              </w:rPr>
            </w:pPr>
            <w:r>
              <w:rPr>
                <w:rFonts w:ascii="Arial" w:eastAsia="Arial" w:hAnsi="Arial" w:cs="Arial"/>
                <w:strike/>
              </w:rPr>
              <w:t>Not Authorized</w:t>
            </w:r>
            <w:r>
              <w:rPr>
                <w:rFonts w:ascii="Arial" w:eastAsia="Arial" w:hAnsi="Arial" w:cs="Arial"/>
              </w:rPr>
              <w:t xml:space="preserve"> </w:t>
            </w:r>
            <w:r>
              <w:rPr>
                <w:rFonts w:ascii="Arial" w:eastAsia="Arial" w:hAnsi="Arial" w:cs="Arial"/>
                <w:u w:val="single"/>
              </w:rPr>
              <w:t>Expenses Only</w:t>
            </w:r>
          </w:p>
        </w:tc>
        <w:tc>
          <w:tcPr>
            <w:tcW w:w="1843" w:type="dxa"/>
          </w:tcPr>
          <w:p w:rsidR="000125B0" w:rsidP="004C68FA">
            <w:pPr>
              <w:jc w:val="right"/>
              <w:rPr>
                <w:rFonts w:ascii="Arial" w:eastAsia="Arial" w:hAnsi="Arial" w:cs="Arial"/>
              </w:rPr>
            </w:pPr>
            <w:bookmarkStart w:id="17" w:name="_CROSS_REFERENCE__3dcde73a_56d2_4468_85b"/>
            <w:r>
              <w:rPr>
                <w:rFonts w:ascii="Arial" w:eastAsia="Arial" w:hAnsi="Arial" w:cs="Arial"/>
              </w:rPr>
              <w:t>3 MRSA §227</w:t>
            </w:r>
            <w:bookmarkEnd w:id="17"/>
          </w:p>
        </w:tc>
      </w:tr>
    </w:tbl>
    <w:p w:rsidR="00000000" w:rsidP="000125B0">
      <w:pPr>
        <w:ind w:left="360" w:firstLine="360"/>
        <w:rPr>
          <w:rFonts w:ascii="Arial" w:eastAsia="Arial" w:hAnsi="Arial" w:cs="Arial"/>
        </w:rPr>
      </w:pPr>
      <w:bookmarkStart w:id="18" w:name="_EMERGENCY_CLAUSE__01edf484_242d_40dc_8f"/>
      <w:bookmarkStart w:id="19" w:name="_PAR__8_0eca4ef6_0ce4_4c00_b966_b425a97e"/>
      <w:bookmarkEnd w:id="9"/>
      <w:bookmarkEnd w:id="10"/>
      <w:bookmarkEnd w:id="14"/>
      <w:bookmarkEnd w:id="15"/>
      <w:bookmarkEnd w:id="1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8"/>
      <w:bookmarkEnd w:id="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LR1301,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Public Members of the Maine-Canadian Legislative Advisory Commission To Receive Reimbursement for Travel Expenses</w:t>
    </w:r>
  </w:p>
  <w:p>
    <w:pPr>
      <w:suppressLineNumbers/>
      <w:spacing w:before="0" w:after="0"/>
      <w:jc w:val="center"/>
      <w:rPr>
        <w:rFonts w:ascii="Arial" w:eastAsia="Arial" w:hAnsi="Arial" w:cs="Arial"/>
      </w:rPr>
    </w:pPr>
    <w:r>
      <w:rPr>
        <w:rFonts w:ascii="Arial" w:eastAsia="Arial" w:hAnsi="Arial" w:cs="Arial"/>
        <w:sz w:val="22"/>
      </w:rPr>
      <w:t>L.D. 377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25B0"/>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68FA"/>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