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Legal Representation for Residents Facing Eviction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151 - L.D. 330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Legal Representation for Residents Facing Eviction</w:t>
      </w:r>
    </w:p>
    <w:p w:rsidR="00546C64" w:rsidP="00546C64">
      <w:pPr>
        <w:ind w:left="360"/>
        <w:rPr>
          <w:rFonts w:ascii="Arial" w:eastAsia="Arial" w:hAnsi="Arial" w:cs="Arial"/>
        </w:rPr>
      </w:pPr>
      <w:bookmarkStart w:id="0" w:name="_ENACTING_CLAUSE__f45b2909_5dec_4aff_969"/>
      <w:bookmarkStart w:id="1" w:name="_PAR__1_1fea25c2_3400_471a_962e_81cc44a8"/>
      <w:bookmarkStart w:id="2" w:name="_DOC_BODY_CONTAINER__015a501f_77e4_48de_"/>
      <w:r>
        <w:rPr>
          <w:rFonts w:ascii="Arial" w:eastAsia="Arial" w:hAnsi="Arial" w:cs="Arial"/>
          <w:b/>
        </w:rPr>
        <w:t>Be it enacted by the People of the State of Maine as follows:</w:t>
      </w:r>
    </w:p>
    <w:p w:rsidR="00546C64" w:rsidP="00546C64">
      <w:pPr>
        <w:ind w:left="360" w:firstLine="360"/>
        <w:rPr>
          <w:rFonts w:ascii="Arial" w:eastAsia="Arial" w:hAnsi="Arial" w:cs="Arial"/>
        </w:rPr>
      </w:pPr>
      <w:bookmarkStart w:id="3" w:name="_BILL_SECTION_HEADER__a0c5944a_850f_4902"/>
      <w:bookmarkStart w:id="4" w:name="_BILL_SECTION__1a38756e_17a3_4740_a188_9"/>
      <w:bookmarkStart w:id="5" w:name="_INSTRUCTION__dc18a25c_12b5_40ab_9696_8c"/>
      <w:bookmarkStart w:id="6" w:name="_DOC_BODY_CONTENT__f17c9547_313a_436e_9d"/>
      <w:bookmarkEnd w:id="0"/>
      <w:bookmarkEnd w:id="1"/>
      <w:r>
        <w:rPr>
          <w:rFonts w:ascii="Arial" w:eastAsia="Arial" w:hAnsi="Arial" w:cs="Arial"/>
          <w:b/>
          <w:sz w:val="24"/>
        </w:rPr>
        <w:t xml:space="preserve">Sec. </w:t>
      </w:r>
      <w:bookmarkStart w:id="7" w:name="_BILL_SECTION_NUMBER__757dad87_4a83_4997"/>
      <w:r>
        <w:rPr>
          <w:rFonts w:ascii="Arial" w:eastAsia="Arial" w:hAnsi="Arial" w:cs="Arial"/>
          <w:b/>
          <w:sz w:val="24"/>
        </w:rPr>
        <w:t>1</w:t>
      </w:r>
      <w:bookmarkEnd w:id="7"/>
      <w:r>
        <w:rPr>
          <w:rFonts w:ascii="Arial" w:eastAsia="Arial" w:hAnsi="Arial" w:cs="Arial"/>
          <w:b/>
          <w:sz w:val="24"/>
        </w:rPr>
        <w:t>.  14 MRSA §6001, sub-§7</w:t>
      </w:r>
      <w:r>
        <w:rPr>
          <w:rFonts w:ascii="Arial" w:eastAsia="Arial" w:hAnsi="Arial" w:cs="Arial"/>
        </w:rPr>
        <w:t xml:space="preserve"> is enacted to read:</w:t>
      </w:r>
    </w:p>
    <w:p w:rsidR="00546C64" w:rsidP="00546C64">
      <w:pPr>
        <w:ind w:left="360" w:firstLine="360"/>
        <w:rPr>
          <w:rFonts w:ascii="Arial" w:eastAsia="Arial" w:hAnsi="Arial" w:cs="Arial"/>
        </w:rPr>
      </w:pPr>
      <w:bookmarkStart w:id="8" w:name="_STATUTE_NUMBER__81e8f46d_885c_41c9_9128"/>
      <w:bookmarkStart w:id="9" w:name="_STATUTE_SS__f3edbaff_e18c_4116_83ae_f29"/>
      <w:bookmarkStart w:id="10" w:name="_REV__36f3d201_d1df_4587_bf43_d223107b3e"/>
      <w:bookmarkStart w:id="11" w:name="_PROCESSED_CHANGE__ea7b28b3_cb28_4175_a2"/>
      <w:bookmarkEnd w:id="3"/>
      <w:r>
        <w:rPr>
          <w:rFonts w:ascii="Arial" w:eastAsia="Arial" w:hAnsi="Arial" w:cs="Arial"/>
          <w:b/>
          <w:u w:val="single"/>
        </w:rPr>
        <w:t>7</w:t>
      </w:r>
      <w:bookmarkEnd w:id="8"/>
      <w:r>
        <w:rPr>
          <w:rFonts w:ascii="Arial" w:eastAsia="Arial" w:hAnsi="Arial" w:cs="Arial"/>
          <w:b/>
          <w:u w:val="single"/>
        </w:rPr>
        <w:t xml:space="preserve">.  </w:t>
      </w:r>
      <w:bookmarkStart w:id="12" w:name="_STATUTE_HEADNOTE__3437b8dc_739d_4c4e_9d"/>
      <w:r>
        <w:rPr>
          <w:rFonts w:ascii="Arial" w:eastAsia="Arial" w:hAnsi="Arial" w:cs="Arial"/>
          <w:b/>
          <w:u w:val="single"/>
        </w:rPr>
        <w:t xml:space="preserve">Notice to quit; form notice required. </w:t>
      </w:r>
      <w:r>
        <w:rPr>
          <w:rFonts w:ascii="Arial" w:eastAsia="Arial" w:hAnsi="Arial" w:cs="Arial"/>
          <w:u w:val="single"/>
        </w:rPr>
        <w:t xml:space="preserve"> </w:t>
      </w:r>
      <w:bookmarkStart w:id="13" w:name="_STATUTE_CONTENT__8646477e_2818_4438_b4a"/>
      <w:bookmarkEnd w:id="12"/>
      <w:r>
        <w:rPr>
          <w:rFonts w:ascii="Arial" w:eastAsia="Arial" w:hAnsi="Arial" w:cs="Arial"/>
          <w:u w:val="single"/>
        </w:rPr>
        <w:t>Beginning January 1, 2024, a landlord shall attach to a notice to terminate tenancy served upon a tenant the form notice posted on the publicly accessible website of the judicial branch in accordance with section 6004, subsection 2.</w:t>
      </w:r>
    </w:p>
    <w:p w:rsidR="00546C64" w:rsidP="00546C64">
      <w:pPr>
        <w:ind w:left="360" w:firstLine="360"/>
        <w:rPr>
          <w:rFonts w:ascii="Arial" w:eastAsia="Arial" w:hAnsi="Arial" w:cs="Arial"/>
        </w:rPr>
      </w:pPr>
      <w:bookmarkStart w:id="14" w:name="_BILL_SECTION_HEADER__5f0d0e3f_0e19_4634"/>
      <w:bookmarkStart w:id="15" w:name="_BILL_SECTION__924c3f77_4b7d_44c3_bea1_4"/>
      <w:bookmarkEnd w:id="4"/>
      <w:bookmarkEnd w:id="9"/>
      <w:bookmarkEnd w:id="10"/>
      <w:bookmarkEnd w:id="11"/>
      <w:bookmarkEnd w:id="13"/>
      <w:r>
        <w:rPr>
          <w:rFonts w:ascii="Arial" w:eastAsia="Arial" w:hAnsi="Arial" w:cs="Arial"/>
          <w:b/>
          <w:sz w:val="24"/>
        </w:rPr>
        <w:t xml:space="preserve">Sec. </w:t>
      </w:r>
      <w:bookmarkStart w:id="16" w:name="_BILL_SECTION_NUMBER__b634cfcb_2e88_41e8"/>
      <w:r>
        <w:rPr>
          <w:rFonts w:ascii="Arial" w:eastAsia="Arial" w:hAnsi="Arial" w:cs="Arial"/>
          <w:b/>
          <w:sz w:val="24"/>
        </w:rPr>
        <w:t>2</w:t>
      </w:r>
      <w:bookmarkEnd w:id="16"/>
      <w:r>
        <w:rPr>
          <w:rFonts w:ascii="Arial" w:eastAsia="Arial" w:hAnsi="Arial" w:cs="Arial"/>
          <w:b/>
          <w:sz w:val="24"/>
        </w:rPr>
        <w:t>.  14 MRSA §6004, sub-§3</w:t>
      </w:r>
      <w:r>
        <w:rPr>
          <w:rFonts w:ascii="Arial" w:eastAsia="Arial" w:hAnsi="Arial" w:cs="Arial"/>
        </w:rPr>
        <w:t xml:space="preserve"> is enacted to read:</w:t>
      </w:r>
    </w:p>
    <w:p w:rsidR="00000000" w:rsidP="00546C64">
      <w:pPr>
        <w:ind w:left="360" w:firstLine="360"/>
        <w:rPr>
          <w:rFonts w:ascii="Arial" w:eastAsia="Arial" w:hAnsi="Arial" w:cs="Arial"/>
        </w:rPr>
      </w:pPr>
      <w:bookmarkStart w:id="17" w:name="_STATUTE_NUMBER__490f73b4_eda9_4bbc_8b02"/>
      <w:bookmarkStart w:id="18" w:name="_PROCESSED_CHANGE__461d617d_b002_43b0_87"/>
      <w:bookmarkStart w:id="19" w:name="_PROCESSED_CHANGE__b908ef46_d2cc_47c1_96"/>
      <w:bookmarkStart w:id="20" w:name="_REV__c4eb27d3_1eef_4c8f_9cd6_08699dd374"/>
      <w:bookmarkStart w:id="21" w:name="_STATUTE_SS__83cf6bd0_b4e6_4f3d_a84e_81e"/>
      <w:bookmarkEnd w:id="14"/>
      <w:r>
        <w:rPr>
          <w:rFonts w:ascii="Arial" w:eastAsia="Arial" w:hAnsi="Arial" w:cs="Arial"/>
          <w:b/>
          <w:u w:val="single"/>
        </w:rPr>
        <w:t>3</w:t>
      </w:r>
      <w:bookmarkEnd w:id="17"/>
      <w:r>
        <w:rPr>
          <w:rFonts w:ascii="Arial" w:eastAsia="Arial" w:hAnsi="Arial" w:cs="Arial"/>
          <w:b/>
          <w:u w:val="single"/>
        </w:rPr>
        <w:t xml:space="preserve">.  </w:t>
      </w:r>
      <w:bookmarkStart w:id="22" w:name="_STATUTE_HEADNOTE__761f0d8b_1cc5_49c1_b6"/>
      <w:r>
        <w:rPr>
          <w:rFonts w:ascii="Arial" w:eastAsia="Arial" w:hAnsi="Arial" w:cs="Arial"/>
          <w:b/>
          <w:u w:val="single"/>
        </w:rPr>
        <w:t xml:space="preserve">Notice of counsel. </w:t>
      </w:r>
      <w:r>
        <w:rPr>
          <w:rFonts w:ascii="Arial" w:eastAsia="Arial" w:hAnsi="Arial" w:cs="Arial"/>
          <w:u w:val="single"/>
        </w:rPr>
        <w:t xml:space="preserve"> </w:t>
      </w:r>
      <w:bookmarkStart w:id="23" w:name="_STATUTE_CONTENT__9fdbbf28_dde8_4eed_8cf"/>
      <w:bookmarkEnd w:id="22"/>
      <w:r>
        <w:rPr>
          <w:rFonts w:ascii="Arial" w:eastAsia="Arial" w:hAnsi="Arial" w:cs="Arial"/>
          <w:u w:val="single"/>
        </w:rPr>
        <w:t>If the court has been advised that an attorney is available to represent tenants in actions of forcible entry and detainer on a day that the court is planning to hold hearings on actions of forcible entry and detainer, the court shall announce the availability of that attorney prior to the commencement of proceedings for actions of forcible entry and detainer on that day. Failure of the court to comply with the requirements of this subsection is not grounds for dismissal of the action or to set aside or appeal any judgment entered against the tenant.</w:t>
      </w:r>
      <w:bookmarkEnd w:id="2"/>
      <w:bookmarkEnd w:id="5"/>
      <w:bookmarkEnd w:id="6"/>
      <w:bookmarkEnd w:id="15"/>
      <w:bookmarkEnd w:id="18"/>
      <w:bookmarkEnd w:id="19"/>
      <w:bookmarkEnd w:id="20"/>
      <w:bookmarkEnd w:id="21"/>
      <w:bookmarkEnd w:id="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LR2017,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Legal Representation for Residents Facing Eviction</w:t>
    </w:r>
  </w:p>
  <w:p>
    <w:pPr>
      <w:suppressLineNumbers/>
      <w:spacing w:before="0" w:after="0"/>
      <w:jc w:val="center"/>
      <w:rPr>
        <w:rFonts w:ascii="Arial" w:eastAsia="Arial" w:hAnsi="Arial" w:cs="Arial"/>
      </w:rPr>
    </w:pPr>
    <w:r>
      <w:rPr>
        <w:rFonts w:ascii="Arial" w:eastAsia="Arial" w:hAnsi="Arial" w:cs="Arial"/>
        <w:sz w:val="22"/>
      </w:rPr>
      <w:t>L.D. 330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46C64"/>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