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Maine Ratepayers with Equitable Access to Interconnection of Distributed Generation Resources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148 - L.D. 327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Provide Maine Ratepayers with Equitable Access to Interconnection of Distributed Generation Resources</w:t>
      </w:r>
    </w:p>
    <w:p w:rsidR="0048389E" w:rsidP="0048389E">
      <w:pPr>
        <w:ind w:left="360"/>
        <w:rPr>
          <w:rFonts w:ascii="Arial" w:eastAsia="Arial" w:hAnsi="Arial" w:cs="Arial"/>
        </w:rPr>
      </w:pPr>
      <w:bookmarkStart w:id="0" w:name="_ENACTING_CLAUSE__2d9e10c0_f938_4ce0_9a3"/>
      <w:bookmarkStart w:id="1" w:name="_PAR__1_244fe9c6_653f_4be8_a8e6_7a466d4a"/>
      <w:bookmarkStart w:id="2" w:name="_DOC_BODY_CONTAINER__6655e696_e1d9_4387_"/>
      <w:r>
        <w:rPr>
          <w:rFonts w:ascii="Arial" w:eastAsia="Arial" w:hAnsi="Arial" w:cs="Arial"/>
          <w:b/>
        </w:rPr>
        <w:t>Be it enacted by the People of the State of Maine as follows:</w:t>
      </w:r>
    </w:p>
    <w:p w:rsidR="0048389E" w:rsidP="0048389E">
      <w:pPr>
        <w:ind w:left="360" w:firstLine="360"/>
        <w:rPr>
          <w:rFonts w:ascii="Arial" w:eastAsia="Arial" w:hAnsi="Arial" w:cs="Arial"/>
        </w:rPr>
      </w:pPr>
      <w:bookmarkStart w:id="3" w:name="_BILL_SECTION_HEADER__cc6e243e_f8f1_432c"/>
      <w:bookmarkStart w:id="4" w:name="_BILL_SECTION__9bd73335_110d_492b_b70c_9"/>
      <w:bookmarkStart w:id="5" w:name="_INSTRUCTION__d2c17c51_d714_449f_9552_7f"/>
      <w:bookmarkStart w:id="6" w:name="_DOC_BODY_CONTENT__09909eac_bebf_464d_93"/>
      <w:bookmarkEnd w:id="0"/>
      <w:bookmarkEnd w:id="1"/>
      <w:r>
        <w:rPr>
          <w:rFonts w:ascii="Arial" w:eastAsia="Arial" w:hAnsi="Arial" w:cs="Arial"/>
          <w:b/>
          <w:sz w:val="24"/>
        </w:rPr>
        <w:t xml:space="preserve">Sec. </w:t>
      </w:r>
      <w:bookmarkStart w:id="7" w:name="_BILL_SECTION_NUMBER__70839a90_c667_4d17"/>
      <w:r>
        <w:rPr>
          <w:rFonts w:ascii="Arial" w:eastAsia="Arial" w:hAnsi="Arial" w:cs="Arial"/>
          <w:b/>
          <w:sz w:val="24"/>
        </w:rPr>
        <w:t>1</w:t>
      </w:r>
      <w:bookmarkEnd w:id="7"/>
      <w:r>
        <w:rPr>
          <w:rFonts w:ascii="Arial" w:eastAsia="Arial" w:hAnsi="Arial" w:cs="Arial"/>
          <w:b/>
          <w:sz w:val="24"/>
        </w:rPr>
        <w:t>.  35-A MRSA §107, sub-§1,</w:t>
      </w:r>
      <w:r>
        <w:rPr>
          <w:rFonts w:ascii="Arial" w:eastAsia="Arial" w:hAnsi="Arial" w:cs="Arial"/>
        </w:rPr>
        <w:t xml:space="preserve"> as amended by PL 2021, c. 398, Pt. UUU, §3, is further amended to read:</w:t>
      </w:r>
    </w:p>
    <w:p w:rsidR="0048389E" w:rsidP="0048389E">
      <w:pPr>
        <w:ind w:left="360" w:firstLine="360"/>
        <w:rPr>
          <w:rFonts w:ascii="Arial" w:eastAsia="Arial" w:hAnsi="Arial" w:cs="Arial"/>
        </w:rPr>
      </w:pPr>
      <w:bookmarkStart w:id="8" w:name="_STATUTE_NUMBER__9c99b2a7_4998_4318_926f"/>
      <w:bookmarkStart w:id="9" w:name="_STATUTE_SS__ed20e701_077e_42a6_9ed5_c55"/>
      <w:bookmarkEnd w:id="3"/>
      <w:r>
        <w:rPr>
          <w:rFonts w:ascii="Arial" w:eastAsia="Arial" w:hAnsi="Arial" w:cs="Arial"/>
          <w:b/>
        </w:rPr>
        <w:t>1</w:t>
      </w:r>
      <w:bookmarkEnd w:id="8"/>
      <w:r>
        <w:rPr>
          <w:rFonts w:ascii="Arial" w:eastAsia="Arial" w:hAnsi="Arial" w:cs="Arial"/>
          <w:b/>
        </w:rPr>
        <w:t xml:space="preserve">.  </w:t>
      </w:r>
      <w:bookmarkStart w:id="10" w:name="_STATUTE_HEADNOTE__8eecef7a_0e0f_478a_b8"/>
      <w:r>
        <w:rPr>
          <w:rFonts w:ascii="Arial" w:eastAsia="Arial" w:hAnsi="Arial" w:cs="Arial"/>
          <w:b/>
        </w:rPr>
        <w:t>Appointment.</w:t>
      </w:r>
      <w:bookmarkEnd w:id="10"/>
      <w:r>
        <w:rPr>
          <w:rFonts w:ascii="Arial" w:eastAsia="Arial" w:hAnsi="Arial" w:cs="Arial"/>
          <w:b/>
        </w:rPr>
        <w:t xml:space="preserve"> </w:t>
      </w:r>
      <w:r>
        <w:rPr>
          <w:rFonts w:ascii="Arial" w:eastAsia="Arial" w:hAnsi="Arial" w:cs="Arial"/>
        </w:rPr>
        <w:t xml:space="preserve"> </w:t>
      </w:r>
      <w:bookmarkStart w:id="11" w:name="_STATUTE_CONTENT__84092c20_20be_4104_b4a"/>
      <w:r>
        <w:rPr>
          <w:rFonts w:ascii="Arial" w:eastAsia="Arial" w:hAnsi="Arial" w:cs="Arial"/>
        </w:rPr>
        <w:t>The commission shall appoint:</w:t>
      </w:r>
      <w:bookmarkEnd w:id="11"/>
    </w:p>
    <w:p w:rsidR="0048389E" w:rsidP="0048389E">
      <w:pPr>
        <w:ind w:left="720"/>
        <w:rPr>
          <w:rFonts w:ascii="Arial" w:eastAsia="Arial" w:hAnsi="Arial" w:cs="Arial"/>
        </w:rPr>
      </w:pPr>
      <w:bookmarkStart w:id="12" w:name="_STATUTE_NUMBER__fd2b27b3_9dd4_481d_8b00"/>
      <w:bookmarkStart w:id="13" w:name="_STATUTE_P__941845c8_6c09_4f21_9292_78df"/>
      <w:r>
        <w:rPr>
          <w:rFonts w:ascii="Arial" w:eastAsia="Arial" w:hAnsi="Arial" w:cs="Arial"/>
        </w:rPr>
        <w:t>A</w:t>
      </w:r>
      <w:bookmarkEnd w:id="12"/>
      <w:r>
        <w:rPr>
          <w:rFonts w:ascii="Arial" w:eastAsia="Arial" w:hAnsi="Arial" w:cs="Arial"/>
        </w:rPr>
        <w:t xml:space="preserve">.  </w:t>
      </w:r>
      <w:bookmarkStart w:id="14" w:name="_STATUTE_CONTENT__4ce9a0b4_804c_4598_bee"/>
      <w:r>
        <w:rPr>
          <w:rFonts w:ascii="Arial" w:eastAsia="Arial" w:hAnsi="Arial" w:cs="Arial"/>
        </w:rPr>
        <w:t>An administrative director, a director of telephone and water utility industries, a director of electric and gas utility industries, a director of consumer assistance and safety and a director of emergency services communication;</w:t>
      </w:r>
      <w:bookmarkEnd w:id="14"/>
    </w:p>
    <w:p w:rsidR="0048389E" w:rsidP="0048389E">
      <w:pPr>
        <w:ind w:left="720"/>
        <w:rPr>
          <w:rFonts w:ascii="Arial" w:eastAsia="Arial" w:hAnsi="Arial" w:cs="Arial"/>
        </w:rPr>
      </w:pPr>
      <w:bookmarkStart w:id="15" w:name="_STATUTE_NUMBER__1bef5316_a8de_49fa_8d94"/>
      <w:bookmarkStart w:id="16" w:name="_STATUTE_P__f676e84b_d02e_4381_a0ca_836c"/>
      <w:bookmarkEnd w:id="13"/>
      <w:r>
        <w:rPr>
          <w:rFonts w:ascii="Arial" w:eastAsia="Arial" w:hAnsi="Arial" w:cs="Arial"/>
        </w:rPr>
        <w:t>B</w:t>
      </w:r>
      <w:bookmarkEnd w:id="15"/>
      <w:r>
        <w:rPr>
          <w:rFonts w:ascii="Arial" w:eastAsia="Arial" w:hAnsi="Arial" w:cs="Arial"/>
        </w:rPr>
        <w:t xml:space="preserve">.  </w:t>
      </w:r>
      <w:bookmarkStart w:id="17" w:name="_STATUTE_CONTENT__c84a7332_1dc7_465b_9e4"/>
      <w:r>
        <w:rPr>
          <w:rFonts w:ascii="Arial" w:eastAsia="Arial" w:hAnsi="Arial" w:cs="Arial"/>
        </w:rPr>
        <w:t>With the approval of the Attorney General, a general counsel;</w:t>
      </w:r>
      <w:bookmarkStart w:id="18" w:name="_REV__dff7c7a3_7cf6_44b3_b231_8c9553ac08"/>
      <w:bookmarkStart w:id="19" w:name="_PROCESSED_CHANGE__73fb6faf_1638_426a_81"/>
      <w:bookmarkStart w:id="20" w:name="_PROCESSED_CHANGE__f98ac494_4502_4574_8c"/>
      <w:bookmarkStart w:id="21" w:name="_PROCESSED_CHANGE__d0af0fe4_263e_44f2_a7"/>
      <w:bookmarkStart w:id="22" w:name="_PROCESSED_CHANGE__5bc0d387_fcda_4c44_bf"/>
      <w:bookmarkStart w:id="23" w:name="_PROCESSED_CHANGE__5e0b6dfe_4cd6_4f66_af"/>
      <w:bookmarkStart w:id="24" w:name="_PROCESSED_CHANGE__a5a4e281_c07d_4a04_89"/>
      <w:r>
        <w:rPr>
          <w:rFonts w:ascii="Arial" w:eastAsia="Arial" w:hAnsi="Arial" w:cs="Arial"/>
        </w:rPr>
        <w:t xml:space="preserve"> </w:t>
      </w:r>
      <w:r>
        <w:rPr>
          <w:rFonts w:ascii="Arial" w:eastAsia="Arial" w:hAnsi="Arial" w:cs="Arial"/>
          <w:strike/>
        </w:rPr>
        <w:t>and</w:t>
      </w:r>
      <w:bookmarkEnd w:id="17"/>
      <w:bookmarkEnd w:id="18"/>
      <w:bookmarkEnd w:id="19"/>
      <w:bookmarkEnd w:id="20"/>
      <w:bookmarkEnd w:id="21"/>
      <w:bookmarkEnd w:id="22"/>
      <w:bookmarkEnd w:id="23"/>
      <w:bookmarkEnd w:id="24"/>
    </w:p>
    <w:p w:rsidR="0048389E" w:rsidP="0048389E">
      <w:pPr>
        <w:ind w:left="720"/>
        <w:rPr>
          <w:rFonts w:ascii="Arial" w:eastAsia="Arial" w:hAnsi="Arial" w:cs="Arial"/>
        </w:rPr>
      </w:pPr>
      <w:bookmarkStart w:id="25" w:name="_STATUTE_NUMBER__5b0ca081_8e9e_4d44_a83b"/>
      <w:bookmarkStart w:id="26" w:name="_STATUTE_P__159994a2_115a_4620_b63a_7701"/>
      <w:bookmarkEnd w:id="16"/>
      <w:r>
        <w:rPr>
          <w:rFonts w:ascii="Arial" w:eastAsia="Arial" w:hAnsi="Arial" w:cs="Arial"/>
        </w:rPr>
        <w:t>C</w:t>
      </w:r>
      <w:bookmarkEnd w:id="25"/>
      <w:r>
        <w:rPr>
          <w:rFonts w:ascii="Arial" w:eastAsia="Arial" w:hAnsi="Arial" w:cs="Arial"/>
        </w:rPr>
        <w:t xml:space="preserve">.  </w:t>
      </w:r>
      <w:bookmarkStart w:id="27" w:name="_STATUTE_CONTENT__7853f789_3140_447c_aec"/>
      <w:r>
        <w:rPr>
          <w:rFonts w:ascii="Arial" w:eastAsia="Arial" w:hAnsi="Arial" w:cs="Arial"/>
        </w:rPr>
        <w:t>An assistant administrative director</w:t>
      </w:r>
      <w:bookmarkStart w:id="28" w:name="_REV__ce529be1_d81c_4211_9562_b4896b11f6"/>
      <w:bookmarkStart w:id="29" w:name="_PROCESSED_CHANGE__87fbd206_7acc_4842_9b"/>
      <w:bookmarkStart w:id="30" w:name="_PROCESSED_CHANGE__54fdbf16_a021_4e80_88"/>
      <w:bookmarkStart w:id="31" w:name="_PROCESSED_CHANGE__97101480_3ac7_419a_99"/>
      <w:bookmarkStart w:id="32" w:name="_PROCESSED_CHANGE__430c0089_144a_4bd6_bd"/>
      <w:bookmarkStart w:id="33" w:name="_PROCESSED_CHANGE__c726d675_cfb6_4b9f_ad"/>
      <w:bookmarkStart w:id="34" w:name="_PROCESSED_CHANGE__b190366e_80cc_434d_82"/>
      <w:r>
        <w:rPr>
          <w:rFonts w:ascii="Arial" w:eastAsia="Arial" w:hAnsi="Arial" w:cs="Arial"/>
          <w:strike/>
        </w:rPr>
        <w:t>.</w:t>
      </w:r>
      <w:bookmarkStart w:id="35" w:name="_REV__d4ce6fa9_6087_451b_b4ce_55cac4f1c0"/>
      <w:bookmarkStart w:id="36" w:name="_PROCESSED_CHANGE__682a9047_c484_4a86_80"/>
      <w:bookmarkStart w:id="37" w:name="_PROCESSED_CHANGE__ae25087b_d88e_40e5_8b"/>
      <w:bookmarkStart w:id="38" w:name="_PROCESSED_CHANGE__5f357c40_124a_4cf4_91"/>
      <w:bookmarkStart w:id="39" w:name="_PROCESSED_CHANGE__2d359db2_d60e_489c_90"/>
      <w:bookmarkStart w:id="40" w:name="_PROCESSED_CHANGE__d29cb623_81e0_41db_b6"/>
      <w:bookmarkStart w:id="41" w:name="_PROCESSED_CHANGE__73f8fc63_994c_4bbd_82"/>
      <w:bookmarkEnd w:id="28"/>
      <w:bookmarkEnd w:id="29"/>
      <w:bookmarkEnd w:id="30"/>
      <w:bookmarkEnd w:id="31"/>
      <w:bookmarkEnd w:id="32"/>
      <w:bookmarkEnd w:id="33"/>
      <w:bookmarkEnd w:id="34"/>
      <w:r>
        <w:rPr>
          <w:rFonts w:ascii="Arial" w:eastAsia="Arial" w:hAnsi="Arial" w:cs="Arial"/>
          <w:u w:val="single"/>
        </w:rPr>
        <w:t>; and</w:t>
      </w:r>
      <w:bookmarkEnd w:id="27"/>
      <w:bookmarkEnd w:id="35"/>
      <w:bookmarkEnd w:id="36"/>
      <w:bookmarkEnd w:id="37"/>
      <w:bookmarkEnd w:id="38"/>
      <w:bookmarkEnd w:id="39"/>
      <w:bookmarkEnd w:id="40"/>
      <w:bookmarkEnd w:id="41"/>
    </w:p>
    <w:p w:rsidR="0048389E" w:rsidP="0048389E">
      <w:pPr>
        <w:ind w:left="720"/>
        <w:rPr>
          <w:rFonts w:ascii="Arial" w:eastAsia="Arial" w:hAnsi="Arial" w:cs="Arial"/>
        </w:rPr>
      </w:pPr>
      <w:bookmarkStart w:id="42" w:name="_STATUTE_NUMBER__230cb4ba_3078_42cb_afb1"/>
      <w:bookmarkStart w:id="43" w:name="_STATUTE_P__aa2aa391_d9fb_45a6_a625_7791"/>
      <w:bookmarkStart w:id="44" w:name="_REV__95e225c7_30c2_42e6_814d_75a90d7734"/>
      <w:bookmarkStart w:id="45" w:name="_PROCESSED_CHANGE__2a5e0534_bc3f_47b2_ac"/>
      <w:bookmarkStart w:id="46" w:name="_PROCESSED_CHANGE__77e306f6_06c0_4938_92"/>
      <w:bookmarkStart w:id="47" w:name="_PROCESSED_CHANGE__506270c1_7c73_4457_b7"/>
      <w:bookmarkStart w:id="48" w:name="_PROCESSED_CHANGE__87ffda4d_3457_47af_a2"/>
      <w:bookmarkStart w:id="49" w:name="_PROCESSED_CHANGE__d540bdb6_87ae_4a97_94"/>
      <w:bookmarkStart w:id="50" w:name="_PROCESSED_CHANGE__ed84819c_75d5_429e_88"/>
      <w:bookmarkEnd w:id="26"/>
      <w:r>
        <w:rPr>
          <w:rFonts w:ascii="Arial" w:eastAsia="Arial" w:hAnsi="Arial" w:cs="Arial"/>
          <w:u w:val="single"/>
        </w:rPr>
        <w:t>D</w:t>
      </w:r>
      <w:bookmarkEnd w:id="42"/>
      <w:r>
        <w:rPr>
          <w:rFonts w:ascii="Arial" w:eastAsia="Arial" w:hAnsi="Arial" w:cs="Arial"/>
          <w:u w:val="single"/>
        </w:rPr>
        <w:t xml:space="preserve">.  </w:t>
      </w:r>
      <w:bookmarkStart w:id="51" w:name="_STATUTE_CONTENT__cf5c4a65_f91f_444d_ab7"/>
      <w:r>
        <w:rPr>
          <w:rFonts w:ascii="Arial" w:eastAsia="Arial" w:hAnsi="Arial" w:cs="Arial"/>
          <w:u w:val="single"/>
        </w:rPr>
        <w:t>An interconnection ombudsman to assist with interconnection under section 3474.</w:t>
      </w:r>
    </w:p>
    <w:p w:rsidR="0048389E" w:rsidP="0048389E">
      <w:pPr>
        <w:ind w:left="360" w:firstLine="360"/>
        <w:rPr>
          <w:rFonts w:ascii="Arial" w:eastAsia="Arial" w:hAnsi="Arial" w:cs="Arial"/>
        </w:rPr>
      </w:pPr>
      <w:bookmarkStart w:id="52" w:name="_BILL_SECTION_HEADER__98f517de_349d_4bc8"/>
      <w:bookmarkStart w:id="53" w:name="_BILL_SECTION__2cbc0df2_647d_4b02_97cf_5"/>
      <w:bookmarkEnd w:id="4"/>
      <w:bookmarkEnd w:id="9"/>
      <w:bookmarkEnd w:id="43"/>
      <w:bookmarkEnd w:id="44"/>
      <w:bookmarkEnd w:id="45"/>
      <w:bookmarkEnd w:id="46"/>
      <w:bookmarkEnd w:id="47"/>
      <w:bookmarkEnd w:id="48"/>
      <w:bookmarkEnd w:id="49"/>
      <w:bookmarkEnd w:id="50"/>
      <w:bookmarkEnd w:id="51"/>
      <w:r>
        <w:rPr>
          <w:rFonts w:ascii="Arial" w:eastAsia="Arial" w:hAnsi="Arial" w:cs="Arial"/>
          <w:b/>
          <w:sz w:val="24"/>
        </w:rPr>
        <w:t xml:space="preserve">Sec. </w:t>
      </w:r>
      <w:bookmarkStart w:id="54" w:name="_BILL_SECTION_NUMBER__7599e604_e08a_4434"/>
      <w:r>
        <w:rPr>
          <w:rFonts w:ascii="Arial" w:eastAsia="Arial" w:hAnsi="Arial" w:cs="Arial"/>
          <w:b/>
          <w:sz w:val="24"/>
        </w:rPr>
        <w:t>2</w:t>
      </w:r>
      <w:bookmarkEnd w:id="54"/>
      <w:r>
        <w:rPr>
          <w:rFonts w:ascii="Arial" w:eastAsia="Arial" w:hAnsi="Arial" w:cs="Arial"/>
          <w:b/>
          <w:sz w:val="24"/>
        </w:rPr>
        <w:t>.  35-A MRSA §107, sub-§2, ¶F</w:t>
      </w:r>
      <w:r>
        <w:rPr>
          <w:rFonts w:ascii="Arial" w:eastAsia="Arial" w:hAnsi="Arial" w:cs="Arial"/>
        </w:rPr>
        <w:t xml:space="preserve"> is enacted to read:</w:t>
      </w:r>
    </w:p>
    <w:p w:rsidR="0048389E" w:rsidP="0048389E">
      <w:pPr>
        <w:ind w:left="720"/>
        <w:rPr>
          <w:rFonts w:ascii="Arial" w:eastAsia="Arial" w:hAnsi="Arial" w:cs="Arial"/>
        </w:rPr>
      </w:pPr>
      <w:bookmarkStart w:id="55" w:name="_STATUTE_NUMBER__b1141319_2b83_4560_a4f8"/>
      <w:bookmarkStart w:id="56" w:name="_STATUTE_P__bb2481d9_ce3e_4afd_aa10_e88b"/>
      <w:bookmarkStart w:id="57" w:name="_REV__365b1b0d_e787_4927_8abf_ce7f0a2b19"/>
      <w:bookmarkStart w:id="58" w:name="_PROCESSED_CHANGE__4ccf40d8_dbbd_4513_95"/>
      <w:bookmarkStart w:id="59" w:name="_PROCESSED_CHANGE__f07fab0d_f456_409e_9a"/>
      <w:bookmarkStart w:id="60" w:name="_PROCESSED_CHANGE__b3a888a7_93eb_4c1d_8a"/>
      <w:bookmarkStart w:id="61" w:name="_PROCESSED_CHANGE__0e8ae3d7_983e_40e5_a5"/>
      <w:bookmarkStart w:id="62" w:name="_PROCESSED_CHANGE__430306b7_5274_4255_95"/>
      <w:bookmarkStart w:id="63" w:name="_PROCESSED_CHANGE__9526d14f_a8a2_4d75_9c"/>
      <w:bookmarkEnd w:id="52"/>
      <w:r>
        <w:rPr>
          <w:rFonts w:ascii="Arial" w:eastAsia="Arial" w:hAnsi="Arial" w:cs="Arial"/>
          <w:u w:val="single"/>
        </w:rPr>
        <w:t>F</w:t>
      </w:r>
      <w:bookmarkEnd w:id="55"/>
      <w:r>
        <w:rPr>
          <w:rFonts w:ascii="Arial" w:eastAsia="Arial" w:hAnsi="Arial" w:cs="Arial"/>
          <w:u w:val="single"/>
        </w:rPr>
        <w:t xml:space="preserve">.  </w:t>
      </w:r>
      <w:bookmarkStart w:id="64" w:name="_STATUTE_CONTENT__7676e5fb_e37e_4dde_af4"/>
      <w:r>
        <w:rPr>
          <w:rFonts w:ascii="Arial" w:eastAsia="Arial" w:hAnsi="Arial" w:cs="Arial"/>
          <w:u w:val="single"/>
        </w:rPr>
        <w:t>Notwithstanding section 116 or any other provision of this Title, the interconnection ombudsman is funded only through fees assessed under section 3474, federal money and contributions from private and public sources.</w:t>
      </w:r>
    </w:p>
    <w:p w:rsidR="0048389E" w:rsidP="0048389E">
      <w:pPr>
        <w:ind w:left="360" w:firstLine="360"/>
        <w:rPr>
          <w:rFonts w:ascii="Arial" w:eastAsia="Arial" w:hAnsi="Arial" w:cs="Arial"/>
        </w:rPr>
      </w:pPr>
      <w:bookmarkStart w:id="65" w:name="_BILL_SECTION_HEADER__695af4d7_48df_4b28"/>
      <w:bookmarkStart w:id="66" w:name="_BILL_SECTION__aa78455d_0ae6_4d2a_8739_0"/>
      <w:bookmarkEnd w:id="53"/>
      <w:bookmarkEnd w:id="56"/>
      <w:bookmarkEnd w:id="57"/>
      <w:bookmarkEnd w:id="58"/>
      <w:bookmarkEnd w:id="59"/>
      <w:bookmarkEnd w:id="60"/>
      <w:bookmarkEnd w:id="61"/>
      <w:bookmarkEnd w:id="62"/>
      <w:bookmarkEnd w:id="63"/>
      <w:bookmarkEnd w:id="64"/>
      <w:r>
        <w:rPr>
          <w:rFonts w:ascii="Arial" w:eastAsia="Arial" w:hAnsi="Arial" w:cs="Arial"/>
          <w:b/>
          <w:sz w:val="24"/>
        </w:rPr>
        <w:t xml:space="preserve">Sec. </w:t>
      </w:r>
      <w:bookmarkStart w:id="67" w:name="_BILL_SECTION_NUMBER__18e66bc0_7b78_4264"/>
      <w:r>
        <w:rPr>
          <w:rFonts w:ascii="Arial" w:eastAsia="Arial" w:hAnsi="Arial" w:cs="Arial"/>
          <w:b/>
          <w:sz w:val="24"/>
        </w:rPr>
        <w:t>3</w:t>
      </w:r>
      <w:bookmarkEnd w:id="67"/>
      <w:r>
        <w:rPr>
          <w:rFonts w:ascii="Arial" w:eastAsia="Arial" w:hAnsi="Arial" w:cs="Arial"/>
          <w:b/>
          <w:sz w:val="24"/>
        </w:rPr>
        <w:t>.  35-A MRSA §3473, sub-§1,</w:t>
      </w:r>
      <w:r>
        <w:rPr>
          <w:rFonts w:ascii="Arial" w:eastAsia="Arial" w:hAnsi="Arial" w:cs="Arial"/>
        </w:rPr>
        <w:t xml:space="preserve"> as enacted by PL 2013, c. 562, §1, is repealed and the following enacted in its place:</w:t>
      </w:r>
    </w:p>
    <w:p w:rsidR="0048389E" w:rsidP="0048389E">
      <w:pPr>
        <w:ind w:left="360" w:firstLine="360"/>
        <w:rPr>
          <w:rFonts w:ascii="Arial" w:eastAsia="Arial" w:hAnsi="Arial" w:cs="Arial"/>
        </w:rPr>
      </w:pPr>
      <w:bookmarkStart w:id="68" w:name="_STATUTE_NUMBER__fd612703_1812_4057_92db"/>
      <w:bookmarkStart w:id="69" w:name="_REV__a143c0dc_3a5b_418b_ace2_92f08ed427"/>
      <w:bookmarkStart w:id="70" w:name="_STATUTE_SS__90bd07a7_700f_4c93_a86f_81a"/>
      <w:bookmarkStart w:id="71" w:name="_PROCESSED_CHANGE__54e61ce0_fc55_4e78_96"/>
      <w:bookmarkStart w:id="72" w:name="_PROCESSED_CHANGE__ce5cc3fc_112b_4ceb_80"/>
      <w:bookmarkStart w:id="73" w:name="_PROCESSED_CHANGE__8e61ff8b_3dfb_41b9_92"/>
      <w:bookmarkStart w:id="74" w:name="_PROCESSED_CHANGE__d1909d2f_17b8_452a_80"/>
      <w:bookmarkStart w:id="75" w:name="_PROCESSED_CHANGE__ff416fcc_fe16_4fb9_ac"/>
      <w:bookmarkStart w:id="76" w:name="_PROCESSED_CHANGE__59091315_96d1_4267_b1"/>
      <w:bookmarkEnd w:id="65"/>
      <w:r>
        <w:rPr>
          <w:rFonts w:ascii="Arial" w:eastAsia="Arial" w:hAnsi="Arial" w:cs="Arial"/>
          <w:b/>
          <w:u w:val="single"/>
        </w:rPr>
        <w:t>1</w:t>
      </w:r>
      <w:bookmarkEnd w:id="68"/>
      <w:r>
        <w:rPr>
          <w:rFonts w:ascii="Arial" w:eastAsia="Arial" w:hAnsi="Arial" w:cs="Arial"/>
          <w:b/>
          <w:u w:val="single"/>
        </w:rPr>
        <w:t xml:space="preserve">.  </w:t>
      </w:r>
      <w:bookmarkStart w:id="77" w:name="_STATUTE_HEADNOTE__20c1a2a2_54f5_4b59_b6"/>
      <w:r>
        <w:rPr>
          <w:rFonts w:ascii="Arial" w:eastAsia="Arial" w:hAnsi="Arial" w:cs="Arial"/>
          <w:b/>
          <w:u w:val="single"/>
        </w:rPr>
        <w:t xml:space="preserve">Monitoring. </w:t>
      </w:r>
      <w:r>
        <w:rPr>
          <w:rFonts w:ascii="Arial" w:eastAsia="Arial" w:hAnsi="Arial" w:cs="Arial"/>
          <w:u w:val="single"/>
        </w:rPr>
        <w:t xml:space="preserve"> </w:t>
      </w:r>
      <w:bookmarkStart w:id="78" w:name="_STATUTE_CONTENT__67fdc32c_029a_49fe_be1"/>
      <w:bookmarkEnd w:id="77"/>
      <w:r>
        <w:rPr>
          <w:rFonts w:ascii="Arial" w:eastAsia="Arial" w:hAnsi="Arial" w:cs="Arial"/>
          <w:u w:val="single"/>
        </w:rPr>
        <w:t xml:space="preserve">The commission shall monitor the level of solar energy development in the State in relation to the goals in </w:t>
      </w:r>
      <w:bookmarkStart w:id="79" w:name="_CROSS_REFERENCE__c984a482_3ec9_4c73_ad7"/>
      <w:r>
        <w:rPr>
          <w:rFonts w:ascii="Arial" w:eastAsia="Arial" w:hAnsi="Arial" w:cs="Arial"/>
          <w:u w:val="single"/>
        </w:rPr>
        <w:t>section 3474</w:t>
      </w:r>
      <w:bookmarkEnd w:id="79"/>
      <w:r>
        <w:rPr>
          <w:rFonts w:ascii="Arial" w:eastAsia="Arial" w:hAnsi="Arial" w:cs="Arial"/>
          <w:u w:val="single"/>
        </w:rPr>
        <w:t>, basic trends in solar energy markets and the relative costs and benefits from solar energy development, including but not limited to</w:t>
      </w:r>
      <w:r>
        <w:rPr>
          <w:rFonts w:ascii="Arial" w:eastAsia="Arial" w:hAnsi="Arial" w:cs="Arial"/>
          <w:u w:val="single"/>
        </w:rPr>
        <w:t>:</w:t>
      </w:r>
    </w:p>
    <w:p w:rsidR="0048389E" w:rsidP="0048389E">
      <w:pPr>
        <w:ind w:left="720"/>
        <w:rPr>
          <w:rFonts w:ascii="Arial" w:eastAsia="Arial" w:hAnsi="Arial" w:cs="Arial"/>
        </w:rPr>
      </w:pPr>
      <w:bookmarkStart w:id="80" w:name="_STATUTE_NUMBER__68fe9f3a_3513_488a_bdc4"/>
      <w:bookmarkStart w:id="81" w:name="_STATUTE_P__dfd4ca38_542c_4b42_bb72_ff99"/>
      <w:bookmarkStart w:id="82" w:name="_REV__091496ac_cde0_4c0a_b7c4_0e108e5cd9"/>
      <w:bookmarkEnd w:id="69"/>
      <w:bookmarkEnd w:id="78"/>
      <w:r>
        <w:rPr>
          <w:rFonts w:ascii="Arial" w:eastAsia="Arial" w:hAnsi="Arial" w:cs="Arial"/>
          <w:u w:val="single"/>
        </w:rPr>
        <w:t>A</w:t>
      </w:r>
      <w:bookmarkEnd w:id="80"/>
      <w:r>
        <w:rPr>
          <w:rFonts w:ascii="Arial" w:eastAsia="Arial" w:hAnsi="Arial" w:cs="Arial"/>
          <w:u w:val="single"/>
        </w:rPr>
        <w:t xml:space="preserve">.  </w:t>
      </w:r>
      <w:bookmarkStart w:id="83" w:name="_STATUTE_CONTENT__019eec95_2e25_4219_935"/>
      <w:r>
        <w:rPr>
          <w:rFonts w:ascii="Arial" w:eastAsia="Arial" w:hAnsi="Arial" w:cs="Arial"/>
          <w:u w:val="single"/>
        </w:rPr>
        <w:t>Revenue from the sale of renewable energy credits;</w:t>
      </w:r>
    </w:p>
    <w:p w:rsidR="0048389E" w:rsidP="0048389E">
      <w:pPr>
        <w:ind w:left="720"/>
        <w:rPr>
          <w:rFonts w:ascii="Arial" w:eastAsia="Arial" w:hAnsi="Arial" w:cs="Arial"/>
        </w:rPr>
      </w:pPr>
      <w:bookmarkStart w:id="84" w:name="_STATUTE_NUMBER__1eab702d_69fa_4bb6_8d25"/>
      <w:bookmarkStart w:id="85" w:name="_STATUTE_P__22924065_5a80_4c3d_9ae6_bcd6"/>
      <w:bookmarkStart w:id="86" w:name="_REV__4140b2f8_6288_4804_8cd7_03ba921ddc"/>
      <w:bookmarkEnd w:id="81"/>
      <w:bookmarkEnd w:id="82"/>
      <w:bookmarkEnd w:id="83"/>
      <w:r>
        <w:rPr>
          <w:rFonts w:ascii="Arial" w:eastAsia="Arial" w:hAnsi="Arial" w:cs="Arial"/>
          <w:u w:val="single"/>
        </w:rPr>
        <w:t>B</w:t>
      </w:r>
      <w:bookmarkEnd w:id="84"/>
      <w:r>
        <w:rPr>
          <w:rFonts w:ascii="Arial" w:eastAsia="Arial" w:hAnsi="Arial" w:cs="Arial"/>
          <w:u w:val="single"/>
        </w:rPr>
        <w:t xml:space="preserve">.  </w:t>
      </w:r>
      <w:bookmarkStart w:id="87" w:name="_STATUTE_CONTENT__dda90caa_fdd4_4745_917"/>
      <w:r>
        <w:rPr>
          <w:rFonts w:ascii="Arial" w:eastAsia="Arial" w:hAnsi="Arial" w:cs="Arial"/>
          <w:u w:val="single"/>
        </w:rPr>
        <w:t>Societal benefits through avoided greenhouse gas emissions;</w:t>
      </w:r>
    </w:p>
    <w:p w:rsidR="0048389E" w:rsidP="0048389E">
      <w:pPr>
        <w:ind w:left="720"/>
        <w:rPr>
          <w:rFonts w:ascii="Arial" w:eastAsia="Arial" w:hAnsi="Arial" w:cs="Arial"/>
        </w:rPr>
      </w:pPr>
      <w:bookmarkStart w:id="88" w:name="_STATUTE_NUMBER__591d9ac2_a37e_4f5e_b3c6"/>
      <w:bookmarkStart w:id="89" w:name="_STATUTE_P__392d5f65_31f0_4870_9eab_89f2"/>
      <w:bookmarkStart w:id="90" w:name="_REV__9daf4ef6_c726_41fb_b61f_93f1fee442"/>
      <w:bookmarkEnd w:id="85"/>
      <w:bookmarkEnd w:id="86"/>
      <w:bookmarkEnd w:id="87"/>
      <w:r>
        <w:rPr>
          <w:rFonts w:ascii="Arial" w:eastAsia="Arial" w:hAnsi="Arial" w:cs="Arial"/>
          <w:u w:val="single"/>
        </w:rPr>
        <w:t>C</w:t>
      </w:r>
      <w:bookmarkEnd w:id="88"/>
      <w:r>
        <w:rPr>
          <w:rFonts w:ascii="Arial" w:eastAsia="Arial" w:hAnsi="Arial" w:cs="Arial"/>
          <w:u w:val="single"/>
        </w:rPr>
        <w:t xml:space="preserve">.  </w:t>
      </w:r>
      <w:bookmarkStart w:id="91" w:name="_STATUTE_CONTENT__cf338da8_eefc_4020_927"/>
      <w:r>
        <w:rPr>
          <w:rFonts w:ascii="Arial" w:eastAsia="Arial" w:hAnsi="Arial" w:cs="Arial"/>
          <w:u w:val="single"/>
        </w:rPr>
        <w:t>Reduced electricity prices; and</w:t>
      </w:r>
    </w:p>
    <w:p w:rsidR="0048389E" w:rsidP="0048389E">
      <w:pPr>
        <w:ind w:left="720"/>
        <w:rPr>
          <w:rFonts w:ascii="Arial" w:eastAsia="Arial" w:hAnsi="Arial" w:cs="Arial"/>
        </w:rPr>
      </w:pPr>
      <w:bookmarkStart w:id="92" w:name="_STATUTE_NUMBER__5b16f3dc_bc06_4659_8ffe"/>
      <w:bookmarkStart w:id="93" w:name="_REV__bfa78f4a_ec12_4ddc_afbe_bbe5a9b22a"/>
      <w:bookmarkStart w:id="94" w:name="_STATUTE_P__fb32237c_0df5_418a_b792_8d5c"/>
      <w:bookmarkEnd w:id="89"/>
      <w:bookmarkEnd w:id="90"/>
      <w:bookmarkEnd w:id="91"/>
      <w:r>
        <w:rPr>
          <w:rFonts w:ascii="Arial" w:eastAsia="Arial" w:hAnsi="Arial" w:cs="Arial"/>
          <w:u w:val="single"/>
        </w:rPr>
        <w:t>D</w:t>
      </w:r>
      <w:bookmarkEnd w:id="92"/>
      <w:r>
        <w:rPr>
          <w:rFonts w:ascii="Arial" w:eastAsia="Arial" w:hAnsi="Arial" w:cs="Arial"/>
          <w:u w:val="single"/>
        </w:rPr>
        <w:t xml:space="preserve">.  </w:t>
      </w:r>
      <w:bookmarkStart w:id="95" w:name="_STATUTE_CONTENT__b32759c0_d3d3_4fd4_8ed"/>
      <w:r>
        <w:rPr>
          <w:rFonts w:ascii="Arial" w:eastAsia="Arial" w:hAnsi="Arial" w:cs="Arial"/>
          <w:u w:val="single"/>
        </w:rPr>
        <w:t>Avoided or reduced costs associated with:</w:t>
      </w:r>
    </w:p>
    <w:p w:rsidR="0048389E" w:rsidP="0048389E">
      <w:pPr>
        <w:ind w:left="1080"/>
        <w:rPr>
          <w:rFonts w:ascii="Arial" w:eastAsia="Arial" w:hAnsi="Arial" w:cs="Arial"/>
        </w:rPr>
      </w:pPr>
      <w:bookmarkStart w:id="96" w:name="_STATUTE_SP__a442d686_7502_4003_bc6c_851"/>
      <w:bookmarkStart w:id="97" w:name="_REV__ecda79b3_8fc0_4458_aa0f_e9e8eb8a5d"/>
      <w:bookmarkEnd w:id="93"/>
      <w:bookmarkEnd w:id="95"/>
      <w:r>
        <w:rPr>
          <w:rFonts w:ascii="Arial" w:eastAsia="Arial" w:hAnsi="Arial" w:cs="Arial"/>
          <w:u w:val="single"/>
        </w:rPr>
        <w:t>(</w:t>
      </w:r>
      <w:bookmarkStart w:id="98" w:name="_STATUTE_NUMBER__d23e84e6_1ad6_45e3_a062"/>
      <w:r>
        <w:rPr>
          <w:rFonts w:ascii="Arial" w:eastAsia="Arial" w:hAnsi="Arial" w:cs="Arial"/>
          <w:u w:val="single"/>
        </w:rPr>
        <w:t>1</w:t>
      </w:r>
      <w:bookmarkEnd w:id="98"/>
      <w:r>
        <w:rPr>
          <w:rFonts w:ascii="Arial" w:eastAsia="Arial" w:hAnsi="Arial" w:cs="Arial"/>
          <w:u w:val="single"/>
        </w:rPr>
        <w:t xml:space="preserve">)  </w:t>
      </w:r>
      <w:bookmarkStart w:id="99" w:name="_STATUTE_CONTENT__2ac10323_09b7_4ccf_820"/>
      <w:r>
        <w:rPr>
          <w:rFonts w:ascii="Arial" w:eastAsia="Arial" w:hAnsi="Arial" w:cs="Arial"/>
          <w:u w:val="single"/>
        </w:rPr>
        <w:t>Electricity capacity requirements;</w:t>
      </w:r>
    </w:p>
    <w:p w:rsidR="0048389E" w:rsidP="0048389E">
      <w:pPr>
        <w:ind w:left="1080"/>
        <w:rPr>
          <w:rFonts w:ascii="Arial" w:eastAsia="Arial" w:hAnsi="Arial" w:cs="Arial"/>
        </w:rPr>
      </w:pPr>
      <w:bookmarkStart w:id="100" w:name="_STATUTE_SP__afb34617_05b4_4f5a_b559_1a6"/>
      <w:bookmarkStart w:id="101" w:name="_REV__cd48c16b_9598_4efd_af96_2363d7ed41"/>
      <w:bookmarkEnd w:id="96"/>
      <w:bookmarkEnd w:id="97"/>
      <w:bookmarkEnd w:id="99"/>
      <w:r>
        <w:rPr>
          <w:rFonts w:ascii="Arial" w:eastAsia="Arial" w:hAnsi="Arial" w:cs="Arial"/>
          <w:u w:val="single"/>
        </w:rPr>
        <w:t>(</w:t>
      </w:r>
      <w:bookmarkStart w:id="102" w:name="_STATUTE_NUMBER__aa125b15_c543_48bb_97d4"/>
      <w:r>
        <w:rPr>
          <w:rFonts w:ascii="Arial" w:eastAsia="Arial" w:hAnsi="Arial" w:cs="Arial"/>
          <w:u w:val="single"/>
        </w:rPr>
        <w:t>2</w:t>
      </w:r>
      <w:bookmarkEnd w:id="102"/>
      <w:r>
        <w:rPr>
          <w:rFonts w:ascii="Arial" w:eastAsia="Arial" w:hAnsi="Arial" w:cs="Arial"/>
          <w:u w:val="single"/>
        </w:rPr>
        <w:t xml:space="preserve">)  </w:t>
      </w:r>
      <w:bookmarkStart w:id="103" w:name="_STATUTE_CONTENT__2e850768_e3f9_410f_84f"/>
      <w:r>
        <w:rPr>
          <w:rFonts w:ascii="Arial" w:eastAsia="Arial" w:hAnsi="Arial" w:cs="Arial"/>
          <w:u w:val="single"/>
        </w:rPr>
        <w:t>Environmental compliance requirements;</w:t>
      </w:r>
    </w:p>
    <w:p w:rsidR="0048389E" w:rsidP="0048389E">
      <w:pPr>
        <w:ind w:left="1080"/>
        <w:rPr>
          <w:rFonts w:ascii="Arial" w:eastAsia="Arial" w:hAnsi="Arial" w:cs="Arial"/>
        </w:rPr>
      </w:pPr>
      <w:bookmarkStart w:id="104" w:name="_STATUTE_SP__d9597815_3301_44fb_9dd5_da1"/>
      <w:bookmarkStart w:id="105" w:name="_REV__ae4ffc57_2e71_496d_9337_fd16150f44"/>
      <w:bookmarkEnd w:id="100"/>
      <w:bookmarkEnd w:id="101"/>
      <w:bookmarkEnd w:id="103"/>
      <w:r>
        <w:rPr>
          <w:rFonts w:ascii="Arial" w:eastAsia="Arial" w:hAnsi="Arial" w:cs="Arial"/>
          <w:u w:val="single"/>
        </w:rPr>
        <w:t>(</w:t>
      </w:r>
      <w:bookmarkStart w:id="106" w:name="_STATUTE_NUMBER__38852104_d63b_48ff_b0e1"/>
      <w:r>
        <w:rPr>
          <w:rFonts w:ascii="Arial" w:eastAsia="Arial" w:hAnsi="Arial" w:cs="Arial"/>
          <w:u w:val="single"/>
        </w:rPr>
        <w:t>3</w:t>
      </w:r>
      <w:bookmarkEnd w:id="106"/>
      <w:r>
        <w:rPr>
          <w:rFonts w:ascii="Arial" w:eastAsia="Arial" w:hAnsi="Arial" w:cs="Arial"/>
          <w:u w:val="single"/>
        </w:rPr>
        <w:t xml:space="preserve">)  </w:t>
      </w:r>
      <w:bookmarkStart w:id="107" w:name="_STATUTE_CONTENT__393839dc_d22b_498e_85c"/>
      <w:r>
        <w:rPr>
          <w:rFonts w:ascii="Arial" w:eastAsia="Arial" w:hAnsi="Arial" w:cs="Arial"/>
          <w:u w:val="single"/>
        </w:rPr>
        <w:t>Portfolio requirements established in section 3210;</w:t>
      </w:r>
    </w:p>
    <w:p w:rsidR="0048389E" w:rsidP="0048389E">
      <w:pPr>
        <w:ind w:left="1080"/>
        <w:rPr>
          <w:rFonts w:ascii="Arial" w:eastAsia="Arial" w:hAnsi="Arial" w:cs="Arial"/>
        </w:rPr>
      </w:pPr>
      <w:bookmarkStart w:id="108" w:name="_STATUTE_SP__96df6da4_f62b_4004_b178_24f"/>
      <w:bookmarkStart w:id="109" w:name="_REV__ac80c12b_088b_416e_a9d0_2152c816a4"/>
      <w:bookmarkEnd w:id="104"/>
      <w:bookmarkEnd w:id="105"/>
      <w:bookmarkEnd w:id="107"/>
      <w:r>
        <w:rPr>
          <w:rFonts w:ascii="Arial" w:eastAsia="Arial" w:hAnsi="Arial" w:cs="Arial"/>
          <w:u w:val="single"/>
        </w:rPr>
        <w:t>(</w:t>
      </w:r>
      <w:bookmarkStart w:id="110" w:name="_STATUTE_NUMBER__8b8a6a74_a398_4219_88b1"/>
      <w:r>
        <w:rPr>
          <w:rFonts w:ascii="Arial" w:eastAsia="Arial" w:hAnsi="Arial" w:cs="Arial"/>
          <w:u w:val="single"/>
        </w:rPr>
        <w:t>4</w:t>
      </w:r>
      <w:bookmarkEnd w:id="110"/>
      <w:r>
        <w:rPr>
          <w:rFonts w:ascii="Arial" w:eastAsia="Arial" w:hAnsi="Arial" w:cs="Arial"/>
          <w:u w:val="single"/>
        </w:rPr>
        <w:t xml:space="preserve">)  </w:t>
      </w:r>
      <w:bookmarkStart w:id="111" w:name="_STATUTE_CONTENT__7f66278a_2611_463d_bc4"/>
      <w:r>
        <w:rPr>
          <w:rFonts w:ascii="Arial" w:eastAsia="Arial" w:hAnsi="Arial" w:cs="Arial"/>
          <w:u w:val="single"/>
        </w:rPr>
        <w:t>Renewable energy credit price suppression; and</w:t>
      </w:r>
    </w:p>
    <w:p w:rsidR="0048389E" w:rsidP="0048389E">
      <w:pPr>
        <w:ind w:left="1080"/>
        <w:rPr>
          <w:rFonts w:ascii="Arial" w:eastAsia="Arial" w:hAnsi="Arial" w:cs="Arial"/>
        </w:rPr>
      </w:pPr>
      <w:bookmarkStart w:id="112" w:name="_STATUTE_SP__3a127141_48ad_431e_b885_53b"/>
      <w:bookmarkStart w:id="113" w:name="_REV__fe979812_705c_4ce6_95ec_7f41514fbb"/>
      <w:bookmarkEnd w:id="108"/>
      <w:bookmarkEnd w:id="109"/>
      <w:bookmarkEnd w:id="111"/>
      <w:r>
        <w:rPr>
          <w:rFonts w:ascii="Arial" w:eastAsia="Arial" w:hAnsi="Arial" w:cs="Arial"/>
          <w:u w:val="single"/>
        </w:rPr>
        <w:t>(</w:t>
      </w:r>
      <w:bookmarkStart w:id="114" w:name="_STATUTE_NUMBER__cb9595d3_5306_4244_86ea"/>
      <w:r>
        <w:rPr>
          <w:rFonts w:ascii="Arial" w:eastAsia="Arial" w:hAnsi="Arial" w:cs="Arial"/>
          <w:u w:val="single"/>
        </w:rPr>
        <w:t>5</w:t>
      </w:r>
      <w:bookmarkEnd w:id="114"/>
      <w:r>
        <w:rPr>
          <w:rFonts w:ascii="Arial" w:eastAsia="Arial" w:hAnsi="Arial" w:cs="Arial"/>
          <w:u w:val="single"/>
        </w:rPr>
        <w:t xml:space="preserve">)  </w:t>
      </w:r>
      <w:bookmarkStart w:id="115" w:name="_STATUTE_CONTENT__e5d275ce_0100_4dc8_b2a"/>
      <w:r>
        <w:rPr>
          <w:rFonts w:ascii="Arial" w:eastAsia="Arial" w:hAnsi="Arial" w:cs="Arial"/>
          <w:u w:val="single"/>
        </w:rPr>
        <w:t>Electricity transmission and distribution costs.</w:t>
      </w:r>
    </w:p>
    <w:p w:rsidR="0048389E" w:rsidP="0048389E">
      <w:pPr>
        <w:ind w:left="360" w:firstLine="360"/>
        <w:rPr>
          <w:rFonts w:ascii="Arial" w:eastAsia="Arial" w:hAnsi="Arial" w:cs="Arial"/>
        </w:rPr>
      </w:pPr>
      <w:bookmarkStart w:id="116" w:name="_BILL_SECTION_HEADER__be2afdd6_fb50_4405"/>
      <w:bookmarkStart w:id="117" w:name="_BILL_SECTION__f540c9d9_66cc_4c1e_b545_1"/>
      <w:bookmarkEnd w:id="66"/>
      <w:bookmarkEnd w:id="70"/>
      <w:bookmarkEnd w:id="71"/>
      <w:bookmarkEnd w:id="72"/>
      <w:bookmarkEnd w:id="73"/>
      <w:bookmarkEnd w:id="74"/>
      <w:bookmarkEnd w:id="75"/>
      <w:bookmarkEnd w:id="76"/>
      <w:bookmarkEnd w:id="94"/>
      <w:bookmarkEnd w:id="112"/>
      <w:bookmarkEnd w:id="113"/>
      <w:bookmarkEnd w:id="115"/>
      <w:r>
        <w:rPr>
          <w:rFonts w:ascii="Arial" w:eastAsia="Arial" w:hAnsi="Arial" w:cs="Arial"/>
          <w:b/>
          <w:sz w:val="24"/>
        </w:rPr>
        <w:t xml:space="preserve">Sec. </w:t>
      </w:r>
      <w:bookmarkStart w:id="118" w:name="_BILL_SECTION_NUMBER__ecdd2ed5_0642_4556"/>
      <w:r>
        <w:rPr>
          <w:rFonts w:ascii="Arial" w:eastAsia="Arial" w:hAnsi="Arial" w:cs="Arial"/>
          <w:b/>
          <w:sz w:val="24"/>
        </w:rPr>
        <w:t>4</w:t>
      </w:r>
      <w:bookmarkEnd w:id="118"/>
      <w:r>
        <w:rPr>
          <w:rFonts w:ascii="Arial" w:eastAsia="Arial" w:hAnsi="Arial" w:cs="Arial"/>
          <w:b/>
          <w:sz w:val="24"/>
        </w:rPr>
        <w:t>.  35-A MRSA §3473, sub-§1-A</w:t>
      </w:r>
      <w:r>
        <w:rPr>
          <w:rFonts w:ascii="Arial" w:eastAsia="Arial" w:hAnsi="Arial" w:cs="Arial"/>
        </w:rPr>
        <w:t xml:space="preserve"> is enacted to read:</w:t>
      </w:r>
    </w:p>
    <w:p w:rsidR="0048389E" w:rsidP="0048389E">
      <w:pPr>
        <w:ind w:left="360" w:firstLine="360"/>
        <w:rPr>
          <w:rFonts w:ascii="Arial" w:eastAsia="Arial" w:hAnsi="Arial" w:cs="Arial"/>
        </w:rPr>
      </w:pPr>
      <w:bookmarkStart w:id="119" w:name="_STATUTE_NUMBER__dc8a965a_c772_4d06_a5ac"/>
      <w:bookmarkStart w:id="120" w:name="_STATUTE_SS__6863a90b_2972_4144_96e0_660"/>
      <w:bookmarkStart w:id="121" w:name="_REV__a9d299c7_2e86_478c_a1ff_6c0a409758"/>
      <w:bookmarkStart w:id="122" w:name="_PROCESSED_CHANGE__03ff8143_09a5_41d3_ad"/>
      <w:bookmarkStart w:id="123" w:name="_PROCESSED_CHANGE__d617fee8_effb_4723_9e"/>
      <w:bookmarkStart w:id="124" w:name="_PROCESSED_CHANGE__c963e3ec_837e_4f6f_98"/>
      <w:bookmarkStart w:id="125" w:name="_PROCESSED_CHANGE__18e8f4ed_f131_4ae7_aa"/>
      <w:bookmarkStart w:id="126" w:name="_PROCESSED_CHANGE__1689e052_1287_4b18_b7"/>
      <w:bookmarkStart w:id="127" w:name="_PROCESSED_CHANGE__0d4896b9_5415_4328_a3"/>
      <w:bookmarkEnd w:id="116"/>
      <w:r>
        <w:rPr>
          <w:rFonts w:ascii="Arial" w:eastAsia="Arial" w:hAnsi="Arial" w:cs="Arial"/>
          <w:b/>
          <w:u w:val="single"/>
        </w:rPr>
        <w:t>1-A</w:t>
      </w:r>
      <w:bookmarkEnd w:id="119"/>
      <w:r>
        <w:rPr>
          <w:rFonts w:ascii="Arial" w:eastAsia="Arial" w:hAnsi="Arial" w:cs="Arial"/>
          <w:b/>
          <w:u w:val="single"/>
        </w:rPr>
        <w:t xml:space="preserve">.  </w:t>
      </w:r>
      <w:bookmarkStart w:id="128" w:name="_STATUTE_HEADNOTE__bf8b7da3_6cd9_477c_ae"/>
      <w:r>
        <w:rPr>
          <w:rFonts w:ascii="Arial" w:eastAsia="Arial" w:hAnsi="Arial" w:cs="Arial"/>
          <w:b/>
          <w:u w:val="single"/>
        </w:rPr>
        <w:t xml:space="preserve">Reporting. </w:t>
      </w:r>
      <w:r>
        <w:rPr>
          <w:rFonts w:ascii="Arial" w:eastAsia="Arial" w:hAnsi="Arial" w:cs="Arial"/>
          <w:u w:val="single"/>
        </w:rPr>
        <w:t xml:space="preserve"> </w:t>
      </w:r>
      <w:bookmarkStart w:id="129" w:name="_STATUTE_CONTENT__7985d4dc_e52c_4312_8d6"/>
      <w:bookmarkEnd w:id="128"/>
      <w:r>
        <w:rPr>
          <w:rFonts w:ascii="Arial" w:eastAsia="Arial" w:hAnsi="Arial" w:cs="Arial"/>
          <w:u w:val="single"/>
        </w:rPr>
        <w:t>By January 1</w:t>
      </w:r>
      <w:r>
        <w:rPr>
          <w:rFonts w:ascii="Arial" w:eastAsia="Arial" w:hAnsi="Arial" w:cs="Arial"/>
          <w:u w:val="single"/>
        </w:rPr>
        <w:t>st</w:t>
      </w:r>
      <w:r>
        <w:rPr>
          <w:rFonts w:ascii="Arial" w:eastAsia="Arial" w:hAnsi="Arial" w:cs="Arial"/>
          <w:u w:val="single"/>
        </w:rPr>
        <w:t xml:space="preserve"> of each year, the commission shall provide a summary report of its findings under subsection 1 to the joint standing committee of the Legislature having jurisdiction </w:t>
      </w:r>
      <w:r>
        <w:rPr>
          <w:rFonts w:ascii="Arial" w:eastAsia="Arial" w:hAnsi="Arial" w:cs="Arial"/>
          <w:u w:val="single"/>
        </w:rPr>
        <w:t xml:space="preserve">over </w:t>
      </w:r>
      <w:r>
        <w:rPr>
          <w:rFonts w:ascii="Arial" w:eastAsia="Arial" w:hAnsi="Arial" w:cs="Arial"/>
          <w:u w:val="single"/>
        </w:rPr>
        <w:t>energy matters.</w:t>
      </w:r>
    </w:p>
    <w:p w:rsidR="0048389E" w:rsidP="0048389E">
      <w:pPr>
        <w:ind w:left="360" w:firstLine="360"/>
        <w:rPr>
          <w:rFonts w:ascii="Arial" w:eastAsia="Arial" w:hAnsi="Arial" w:cs="Arial"/>
        </w:rPr>
      </w:pPr>
      <w:bookmarkStart w:id="130" w:name="_BILL_SECTION_HEADER__8a5af4bb_6335_480d"/>
      <w:bookmarkStart w:id="131" w:name="_BILL_SECTION__94ce7d53_59ac_47ca_aca6_9"/>
      <w:bookmarkEnd w:id="117"/>
      <w:bookmarkEnd w:id="120"/>
      <w:bookmarkEnd w:id="121"/>
      <w:bookmarkEnd w:id="122"/>
      <w:bookmarkEnd w:id="123"/>
      <w:bookmarkEnd w:id="124"/>
      <w:bookmarkEnd w:id="125"/>
      <w:bookmarkEnd w:id="126"/>
      <w:bookmarkEnd w:id="127"/>
      <w:bookmarkEnd w:id="129"/>
      <w:r>
        <w:rPr>
          <w:rFonts w:ascii="Arial" w:eastAsia="Arial" w:hAnsi="Arial" w:cs="Arial"/>
          <w:b/>
          <w:sz w:val="24"/>
        </w:rPr>
        <w:t xml:space="preserve">Sec. </w:t>
      </w:r>
      <w:bookmarkStart w:id="132" w:name="_BILL_SECTION_NUMBER__55beca53_c5be_4b97"/>
      <w:r>
        <w:rPr>
          <w:rFonts w:ascii="Arial" w:eastAsia="Arial" w:hAnsi="Arial" w:cs="Arial"/>
          <w:b/>
          <w:sz w:val="24"/>
        </w:rPr>
        <w:t>5</w:t>
      </w:r>
      <w:bookmarkEnd w:id="132"/>
      <w:r>
        <w:rPr>
          <w:rFonts w:ascii="Arial" w:eastAsia="Arial" w:hAnsi="Arial" w:cs="Arial"/>
          <w:b/>
          <w:sz w:val="24"/>
        </w:rPr>
        <w:t>.  35-A MRSA §3474, sub-§3,</w:t>
      </w:r>
      <w:r>
        <w:rPr>
          <w:rFonts w:ascii="Arial" w:eastAsia="Arial" w:hAnsi="Arial" w:cs="Arial"/>
        </w:rPr>
        <w:t xml:space="preserve"> as enacted by PL 2021, c. 264, §1, is amended to read:</w:t>
      </w:r>
    </w:p>
    <w:p w:rsidR="0048389E" w:rsidP="0048389E">
      <w:pPr>
        <w:ind w:left="360" w:firstLine="360"/>
        <w:rPr>
          <w:rFonts w:ascii="Arial" w:eastAsia="Arial" w:hAnsi="Arial" w:cs="Arial"/>
        </w:rPr>
      </w:pPr>
      <w:bookmarkStart w:id="133" w:name="_STATUTE_NUMBER__50cfe2e8_c067_42f5_94f6"/>
      <w:bookmarkStart w:id="134" w:name="_STATUTE_SS__d3e2ef09_7046_4753_87a6_557"/>
      <w:bookmarkEnd w:id="130"/>
      <w:r>
        <w:rPr>
          <w:rFonts w:ascii="Arial" w:eastAsia="Arial" w:hAnsi="Arial" w:cs="Arial"/>
          <w:b/>
        </w:rPr>
        <w:t>3</w:t>
      </w:r>
      <w:bookmarkEnd w:id="133"/>
      <w:r>
        <w:rPr>
          <w:rFonts w:ascii="Arial" w:eastAsia="Arial" w:hAnsi="Arial" w:cs="Arial"/>
          <w:b/>
        </w:rPr>
        <w:t xml:space="preserve">.  </w:t>
      </w:r>
      <w:bookmarkStart w:id="135" w:name="_STATUTE_HEADNOTE__d2b9e2ae_3961_482f_87"/>
      <w:r>
        <w:rPr>
          <w:rFonts w:ascii="Arial" w:eastAsia="Arial" w:hAnsi="Arial" w:cs="Arial"/>
          <w:b/>
        </w:rPr>
        <w:t>Interconnection rules.</w:t>
      </w:r>
      <w:bookmarkEnd w:id="135"/>
      <w:r>
        <w:rPr>
          <w:rFonts w:ascii="Arial" w:eastAsia="Arial" w:hAnsi="Arial" w:cs="Arial"/>
          <w:b/>
        </w:rPr>
        <w:t xml:space="preserve"> </w:t>
      </w:r>
      <w:r>
        <w:rPr>
          <w:rFonts w:ascii="Arial" w:eastAsia="Arial" w:hAnsi="Arial" w:cs="Arial"/>
        </w:rPr>
        <w:t xml:space="preserve"> </w:t>
      </w:r>
      <w:bookmarkStart w:id="136" w:name="_STATUTE_CONTENT__f40b771e_2d2b_41ba_883"/>
      <w:r>
        <w:rPr>
          <w:rFonts w:ascii="Arial" w:eastAsia="Arial" w:hAnsi="Arial" w:cs="Arial"/>
        </w:rPr>
        <w:t xml:space="preserve">The commission shall adopt rules related to the interconnection of renewable capacity resources, as defined in </w:t>
      </w:r>
      <w:bookmarkStart w:id="137" w:name="_CROSS_REFERENCE__cbfc5379_dd4d_4632_a4b"/>
      <w:r>
        <w:rPr>
          <w:rFonts w:ascii="Arial" w:eastAsia="Arial" w:hAnsi="Arial" w:cs="Arial"/>
        </w:rPr>
        <w:t>section 3210‑C, subsection 1, paragraph E</w:t>
      </w:r>
      <w:bookmarkEnd w:id="137"/>
      <w:r>
        <w:rPr>
          <w:rFonts w:ascii="Arial" w:eastAsia="Arial" w:hAnsi="Arial" w:cs="Arial"/>
        </w:rPr>
        <w:t>, using solar power</w:t>
      </w:r>
      <w:bookmarkStart w:id="138" w:name="_REV__9f2e1457_2321_469e_9280_f1f0e3feb8"/>
      <w:bookmarkStart w:id="139" w:name="_PROCESSED_CHANGE__e6eba37f_1684_4f5c_82"/>
      <w:bookmarkStart w:id="140" w:name="_PROCESSED_CHANGE__2ea52253_b0ef_4b31_99"/>
      <w:bookmarkStart w:id="141" w:name="_PROCESSED_CHANGE__94063fa7_ecaa_47cd_9f"/>
      <w:bookmarkStart w:id="142" w:name="_PROCESSED_CHANGE__6192460a_7a6d_4497_a3"/>
      <w:bookmarkStart w:id="143" w:name="_PROCESSED_CHANGE__7fd2f97c_7f9e_4fb1_87"/>
      <w:bookmarkStart w:id="144" w:name="_PROCESSED_CHANGE__5844032c_77e1_48e8_9f"/>
      <w:r>
        <w:rPr>
          <w:rFonts w:ascii="Arial" w:eastAsia="Arial" w:hAnsi="Arial" w:cs="Arial"/>
          <w:u w:val="single"/>
        </w:rPr>
        <w:t xml:space="preserve">, referred to in this subsection as </w:t>
      </w:r>
      <w:r>
        <w:rPr>
          <w:rFonts w:ascii="Arial" w:eastAsia="Arial" w:hAnsi="Arial" w:cs="Arial"/>
          <w:u w:val="single"/>
        </w:rPr>
        <w:t>"</w:t>
      </w:r>
      <w:r>
        <w:rPr>
          <w:rFonts w:ascii="Arial" w:eastAsia="Arial" w:hAnsi="Arial" w:cs="Arial"/>
          <w:u w:val="single"/>
        </w:rPr>
        <w:t>solar resources,</w:t>
      </w:r>
      <w:r>
        <w:rPr>
          <w:rFonts w:ascii="Arial" w:eastAsia="Arial" w:hAnsi="Arial" w:cs="Arial"/>
          <w:u w:val="single"/>
        </w:rPr>
        <w:t>"</w:t>
      </w:r>
      <w:r>
        <w:rPr>
          <w:rFonts w:ascii="Arial" w:eastAsia="Arial" w:hAnsi="Arial" w:cs="Arial"/>
          <w:u w:val="single"/>
        </w:rPr>
        <w:t xml:space="preserve"> and energy storage systems, as defined in section 3481, subsection 6, whether or not colocated with solar resources,</w:t>
      </w:r>
      <w:bookmarkEnd w:id="138"/>
      <w:bookmarkEnd w:id="139"/>
      <w:bookmarkEnd w:id="140"/>
      <w:bookmarkEnd w:id="141"/>
      <w:bookmarkEnd w:id="142"/>
      <w:bookmarkEnd w:id="143"/>
      <w:bookmarkEnd w:id="144"/>
      <w:r>
        <w:rPr>
          <w:rFonts w:ascii="Arial" w:eastAsia="Arial" w:hAnsi="Arial" w:cs="Arial"/>
        </w:rPr>
        <w:t xml:space="preserve"> to investor-owned transmission and distribution utilities, as defined in </w:t>
      </w:r>
      <w:bookmarkStart w:id="145" w:name="_CROSS_REFERENCE__09001873_ff9d_4c59_8d7"/>
      <w:r>
        <w:rPr>
          <w:rFonts w:ascii="Arial" w:eastAsia="Arial" w:hAnsi="Arial" w:cs="Arial"/>
        </w:rPr>
        <w:t>section 3201, subsection 11‑A</w:t>
      </w:r>
      <w:bookmarkEnd w:id="145"/>
      <w:r>
        <w:rPr>
          <w:rFonts w:ascii="Arial" w:eastAsia="Arial" w:hAnsi="Arial" w:cs="Arial"/>
        </w:rPr>
        <w:t>, in a manner that supports the goals in this section and ensures:</w:t>
      </w:r>
      <w:bookmarkEnd w:id="136"/>
    </w:p>
    <w:p w:rsidR="0048389E" w:rsidP="0048389E">
      <w:pPr>
        <w:ind w:left="720"/>
        <w:rPr>
          <w:rFonts w:ascii="Arial" w:eastAsia="Arial" w:hAnsi="Arial" w:cs="Arial"/>
        </w:rPr>
      </w:pPr>
      <w:bookmarkStart w:id="146" w:name="_STATUTE_NUMBER__e4dd4b65_7ef3_4584_872a"/>
      <w:bookmarkStart w:id="147" w:name="_STATUTE_P__7fadf8df_a38e_4bce_889b_718c"/>
      <w:r>
        <w:rPr>
          <w:rFonts w:ascii="Arial" w:eastAsia="Arial" w:hAnsi="Arial" w:cs="Arial"/>
        </w:rPr>
        <w:t>A</w:t>
      </w:r>
      <w:bookmarkEnd w:id="146"/>
      <w:r>
        <w:rPr>
          <w:rFonts w:ascii="Arial" w:eastAsia="Arial" w:hAnsi="Arial" w:cs="Arial"/>
        </w:rPr>
        <w:t xml:space="preserve">.  </w:t>
      </w:r>
      <w:bookmarkStart w:id="148" w:name="_STATUTE_CONTENT__f18c0089_f26f_4884_ba6"/>
      <w:r>
        <w:rPr>
          <w:rFonts w:ascii="Arial" w:eastAsia="Arial" w:hAnsi="Arial" w:cs="Arial"/>
        </w:rPr>
        <w:t>The State's interconnection rules reflect nationally recognized best practices</w:t>
      </w:r>
      <w:bookmarkStart w:id="149" w:name="_REV__e5f8a2d9_7bb6_44ed_80ec_5b045f1f0f"/>
      <w:bookmarkStart w:id="150" w:name="_PROCESSED_CHANGE__345b107a_ef3e_4bd5_92"/>
      <w:bookmarkStart w:id="151" w:name="_PROCESSED_CHANGE__f959aa69_9e10_4b92_8e"/>
      <w:bookmarkStart w:id="152" w:name="_PROCESSED_CHANGE__1caded27_3a6c_4c99_89"/>
      <w:bookmarkStart w:id="153" w:name="_PROCESSED_CHANGE__84fa9f1a_a624_4ac5_92"/>
      <w:bookmarkStart w:id="154" w:name="_PROCESSED_CHANGE__1859b7e2_75a5_4cd5_8e"/>
      <w:bookmarkStart w:id="155" w:name="_PROCESSED_CHANGE__05752782_6a2b_4f32_94"/>
      <w:r>
        <w:rPr>
          <w:rFonts w:ascii="Arial" w:eastAsia="Arial" w:hAnsi="Arial" w:cs="Arial"/>
          <w:u w:val="single"/>
        </w:rPr>
        <w:t xml:space="preserve">, which may include, but are not limited to, those established by </w:t>
      </w:r>
      <w:r>
        <w:rPr>
          <w:rFonts w:ascii="Arial" w:eastAsia="Arial" w:hAnsi="Arial" w:cs="Arial"/>
          <w:u w:val="single"/>
        </w:rPr>
        <w:t>the</w:t>
      </w:r>
      <w:r>
        <w:rPr>
          <w:rFonts w:ascii="Arial" w:eastAsia="Arial" w:hAnsi="Arial" w:cs="Arial"/>
          <w:u w:val="single"/>
        </w:rPr>
        <w:t xml:space="preserve"> </w:t>
      </w:r>
      <w:r>
        <w:rPr>
          <w:rFonts w:ascii="Arial" w:eastAsia="Arial" w:hAnsi="Arial" w:cs="Arial"/>
          <w:u w:val="single"/>
        </w:rPr>
        <w:t>I</w:t>
      </w:r>
      <w:r>
        <w:rPr>
          <w:rFonts w:ascii="Arial" w:eastAsia="Arial" w:hAnsi="Arial" w:cs="Arial"/>
          <w:u w:val="single"/>
        </w:rPr>
        <w:t xml:space="preserve">nterstate </w:t>
      </w:r>
      <w:r>
        <w:rPr>
          <w:rFonts w:ascii="Arial" w:eastAsia="Arial" w:hAnsi="Arial" w:cs="Arial"/>
          <w:u w:val="single"/>
        </w:rPr>
        <w:t>R</w:t>
      </w:r>
      <w:r>
        <w:rPr>
          <w:rFonts w:ascii="Arial" w:eastAsia="Arial" w:hAnsi="Arial" w:cs="Arial"/>
          <w:u w:val="single"/>
        </w:rPr>
        <w:t xml:space="preserve">enewable </w:t>
      </w:r>
      <w:r>
        <w:rPr>
          <w:rFonts w:ascii="Arial" w:eastAsia="Arial" w:hAnsi="Arial" w:cs="Arial"/>
          <w:u w:val="single"/>
        </w:rPr>
        <w:t>E</w:t>
      </w:r>
      <w:r>
        <w:rPr>
          <w:rFonts w:ascii="Arial" w:eastAsia="Arial" w:hAnsi="Arial" w:cs="Arial"/>
          <w:u w:val="single"/>
        </w:rPr>
        <w:t xml:space="preserve">nergy </w:t>
      </w:r>
      <w:r>
        <w:rPr>
          <w:rFonts w:ascii="Arial" w:eastAsia="Arial" w:hAnsi="Arial" w:cs="Arial"/>
          <w:u w:val="single"/>
        </w:rPr>
        <w:t>C</w:t>
      </w:r>
      <w:r>
        <w:rPr>
          <w:rFonts w:ascii="Arial" w:eastAsia="Arial" w:hAnsi="Arial" w:cs="Arial"/>
          <w:u w:val="single"/>
        </w:rPr>
        <w:t>ouncil</w:t>
      </w:r>
      <w:r>
        <w:rPr>
          <w:rFonts w:ascii="Arial" w:eastAsia="Arial" w:hAnsi="Arial" w:cs="Arial"/>
          <w:u w:val="single"/>
        </w:rPr>
        <w:t>,</w:t>
      </w:r>
      <w:r>
        <w:rPr>
          <w:rFonts w:ascii="Arial" w:eastAsia="Arial" w:hAnsi="Arial" w:cs="Arial"/>
          <w:u w:val="single"/>
        </w:rPr>
        <w:t xml:space="preserve"> or successor organization</w:t>
      </w:r>
      <w:r>
        <w:rPr>
          <w:rFonts w:ascii="Arial" w:eastAsia="Arial" w:hAnsi="Arial" w:cs="Arial"/>
          <w:u w:val="single"/>
        </w:rPr>
        <w:t>,</w:t>
      </w:r>
      <w:r>
        <w:rPr>
          <w:rFonts w:ascii="Arial" w:eastAsia="Arial" w:hAnsi="Arial" w:cs="Arial"/>
          <w:u w:val="single"/>
        </w:rPr>
        <w:t xml:space="preserve"> and prioritize interconnection of solar resources and energy storage systems owned by customers of investor-owned transmission and distribution utilities and used to serve an on-site load</w:t>
      </w:r>
      <w:bookmarkEnd w:id="149"/>
      <w:bookmarkEnd w:id="150"/>
      <w:bookmarkEnd w:id="151"/>
      <w:bookmarkEnd w:id="152"/>
      <w:bookmarkEnd w:id="153"/>
      <w:bookmarkEnd w:id="154"/>
      <w:bookmarkEnd w:id="155"/>
      <w:r>
        <w:rPr>
          <w:rFonts w:ascii="Arial" w:eastAsia="Arial" w:hAnsi="Arial" w:cs="Arial"/>
        </w:rPr>
        <w:t>;</w:t>
      </w:r>
      <w:bookmarkEnd w:id="148"/>
    </w:p>
    <w:p w:rsidR="0048389E" w:rsidP="0048389E">
      <w:pPr>
        <w:ind w:left="720"/>
        <w:rPr>
          <w:rFonts w:ascii="Arial" w:eastAsia="Arial" w:hAnsi="Arial" w:cs="Arial"/>
        </w:rPr>
      </w:pPr>
      <w:bookmarkStart w:id="156" w:name="_STATUTE_NUMBER__038d7e37_4817_468a_8548"/>
      <w:bookmarkStart w:id="157" w:name="_STATUTE_P__cd0f572c_0a19_45d3_8fc0_3cb5"/>
      <w:bookmarkEnd w:id="147"/>
      <w:r>
        <w:rPr>
          <w:rFonts w:ascii="Arial" w:eastAsia="Arial" w:hAnsi="Arial" w:cs="Arial"/>
        </w:rPr>
        <w:t>B</w:t>
      </w:r>
      <w:bookmarkEnd w:id="156"/>
      <w:r>
        <w:rPr>
          <w:rFonts w:ascii="Arial" w:eastAsia="Arial" w:hAnsi="Arial" w:cs="Arial"/>
        </w:rPr>
        <w:t xml:space="preserve">.  </w:t>
      </w:r>
      <w:bookmarkStart w:id="158" w:name="_STATUTE_CONTENT__e5c2fef3_4995_410a_8f5"/>
      <w:r>
        <w:rPr>
          <w:rFonts w:ascii="Arial" w:eastAsia="Arial" w:hAnsi="Arial" w:cs="Arial"/>
        </w:rPr>
        <w:t>Customers affected by deficiencies in the rules are able to access timely resolution processes that do not place an undue burden on the customer; and</w:t>
      </w:r>
      <w:bookmarkEnd w:id="158"/>
    </w:p>
    <w:p w:rsidR="0048389E" w:rsidP="0048389E">
      <w:pPr>
        <w:ind w:left="720"/>
        <w:rPr>
          <w:rFonts w:ascii="Arial" w:eastAsia="Arial" w:hAnsi="Arial" w:cs="Arial"/>
        </w:rPr>
      </w:pPr>
      <w:bookmarkStart w:id="159" w:name="_STATUTE_NUMBER__4c2dec44_6ad4_4add_b264"/>
      <w:bookmarkStart w:id="160" w:name="_STATUTE_P__877ebb94_cac0_4cf1_9a8d_4ca9"/>
      <w:bookmarkEnd w:id="157"/>
      <w:r>
        <w:rPr>
          <w:rFonts w:ascii="Arial" w:eastAsia="Arial" w:hAnsi="Arial" w:cs="Arial"/>
        </w:rPr>
        <w:t>C</w:t>
      </w:r>
      <w:bookmarkEnd w:id="159"/>
      <w:r>
        <w:rPr>
          <w:rFonts w:ascii="Arial" w:eastAsia="Arial" w:hAnsi="Arial" w:cs="Arial"/>
        </w:rPr>
        <w:t xml:space="preserve">.  </w:t>
      </w:r>
      <w:bookmarkStart w:id="161" w:name="_STATUTE_CONTENT__522f5c5d_54e1_483e_a5b"/>
      <w:r>
        <w:rPr>
          <w:rFonts w:ascii="Arial" w:eastAsia="Arial" w:hAnsi="Arial" w:cs="Arial"/>
        </w:rPr>
        <w:t>Investments in investor-owned transmission and distribution utility distribution upgrades related to load are coordinated with utility infrastructure upgrades required for the interconnection of renewable capacity resources using solar power</w:t>
      </w:r>
      <w:bookmarkStart w:id="162" w:name="_REV__4ca2c92b_fcae_4177_8beb_a5430c8668"/>
      <w:bookmarkStart w:id="163" w:name="_PROCESSED_CHANGE__ba993b24_e058_4490_b6"/>
      <w:bookmarkStart w:id="164" w:name="_PROCESSED_CHANGE__9b76ce25_5ff5_4e43_8c"/>
      <w:bookmarkStart w:id="165" w:name="_PROCESSED_CHANGE__2b8e0a3d_9f3d_48fc_97"/>
      <w:bookmarkStart w:id="166" w:name="_PROCESSED_CHANGE__24a8a7b1_b52a_4cd5_96"/>
      <w:bookmarkStart w:id="167" w:name="_PROCESSED_CHANGE__0dfbedea_99e7_4398_b6"/>
      <w:bookmarkStart w:id="168" w:name="_PROCESSED_CHANGE__67fde704_65c1_45bc_a8"/>
      <w:r w:rsidRPr="00D10B6E">
        <w:rPr>
          <w:rFonts w:ascii="Arial" w:eastAsia="Arial" w:hAnsi="Arial" w:cs="Arial"/>
        </w:rPr>
        <w:t xml:space="preserve"> </w:t>
      </w:r>
      <w:r>
        <w:rPr>
          <w:rFonts w:ascii="Arial" w:eastAsia="Arial" w:hAnsi="Arial" w:cs="Arial"/>
          <w:u w:val="single"/>
        </w:rPr>
        <w:t>and energy storage systems</w:t>
      </w:r>
      <w:bookmarkEnd w:id="162"/>
      <w:bookmarkEnd w:id="163"/>
      <w:bookmarkEnd w:id="164"/>
      <w:bookmarkEnd w:id="165"/>
      <w:bookmarkEnd w:id="166"/>
      <w:bookmarkEnd w:id="167"/>
      <w:bookmarkEnd w:id="168"/>
      <w:r>
        <w:rPr>
          <w:rFonts w:ascii="Arial" w:eastAsia="Arial" w:hAnsi="Arial" w:cs="Arial"/>
        </w:rPr>
        <w:t>.</w:t>
      </w:r>
      <w:bookmarkEnd w:id="161"/>
    </w:p>
    <w:p w:rsidR="0048389E" w:rsidP="0048389E">
      <w:pPr>
        <w:ind w:left="360"/>
        <w:rPr>
          <w:rFonts w:ascii="Arial" w:eastAsia="Arial" w:hAnsi="Arial" w:cs="Arial"/>
        </w:rPr>
      </w:pPr>
      <w:bookmarkStart w:id="169" w:name="_STATUTE_P__68edceaf_e137_4538_9c7d_3173"/>
      <w:bookmarkStart w:id="170" w:name="_STATUTE_CONTENT__d9a969e9_8a30_491f_96e"/>
      <w:bookmarkStart w:id="171" w:name="_REV__d4f784af_4325_4569_828a_e93ace105b"/>
      <w:bookmarkStart w:id="172" w:name="_PROCESSED_CHANGE__88b9074d_6974_4ece_ad"/>
      <w:bookmarkStart w:id="173" w:name="_PROCESSED_CHANGE__9df77ba5_dad0_4a06_a7"/>
      <w:bookmarkStart w:id="174" w:name="_PROCESSED_CHANGE__cb004c0c_4f7d_4086_aa"/>
      <w:bookmarkStart w:id="175" w:name="_PROCESSED_CHANGE__7969a367_8d47_40e5_bc"/>
      <w:bookmarkStart w:id="176" w:name="_PROCESSED_CHANGE__c211d681_5f7b_436f_b2"/>
      <w:bookmarkStart w:id="177" w:name="_PROCESSED_CHANGE__48a2e3ae_57a0_4559_b5"/>
      <w:bookmarkEnd w:id="160"/>
      <w:r>
        <w:rPr>
          <w:rFonts w:ascii="Arial" w:eastAsia="Arial" w:hAnsi="Arial" w:cs="Arial"/>
          <w:u w:val="single"/>
        </w:rPr>
        <w:t>Rules adopted under this subsection are routine technical rules as defined in Title 5, chapter 375, subchapter 2-A.</w:t>
      </w:r>
    </w:p>
    <w:p w:rsidR="0048389E" w:rsidP="0048389E">
      <w:pPr>
        <w:ind w:left="360" w:firstLine="360"/>
        <w:rPr>
          <w:rFonts w:ascii="Arial" w:eastAsia="Arial" w:hAnsi="Arial" w:cs="Arial"/>
        </w:rPr>
      </w:pPr>
      <w:bookmarkStart w:id="178" w:name="_BILL_SECTION_HEADER__cbc1927d_7ebc_406c"/>
      <w:bookmarkStart w:id="179" w:name="_BILL_SECTION__bcaf698d_50ee_4ede_9b85_8"/>
      <w:bookmarkEnd w:id="131"/>
      <w:bookmarkEnd w:id="134"/>
      <w:bookmarkEnd w:id="169"/>
      <w:bookmarkEnd w:id="170"/>
      <w:bookmarkEnd w:id="171"/>
      <w:bookmarkEnd w:id="172"/>
      <w:bookmarkEnd w:id="173"/>
      <w:bookmarkEnd w:id="174"/>
      <w:bookmarkEnd w:id="175"/>
      <w:bookmarkEnd w:id="176"/>
      <w:bookmarkEnd w:id="177"/>
      <w:r>
        <w:rPr>
          <w:rFonts w:ascii="Arial" w:eastAsia="Arial" w:hAnsi="Arial" w:cs="Arial"/>
          <w:b/>
          <w:sz w:val="24"/>
        </w:rPr>
        <w:t xml:space="preserve">Sec. </w:t>
      </w:r>
      <w:bookmarkStart w:id="180" w:name="_BILL_SECTION_NUMBER__56e6c180_e2d4_4045"/>
      <w:r>
        <w:rPr>
          <w:rFonts w:ascii="Arial" w:eastAsia="Arial" w:hAnsi="Arial" w:cs="Arial"/>
          <w:b/>
          <w:sz w:val="24"/>
        </w:rPr>
        <w:t>6</w:t>
      </w:r>
      <w:bookmarkEnd w:id="180"/>
      <w:r>
        <w:rPr>
          <w:rFonts w:ascii="Arial" w:eastAsia="Arial" w:hAnsi="Arial" w:cs="Arial"/>
          <w:b/>
          <w:sz w:val="24"/>
        </w:rPr>
        <w:t>.  35-A MRSA §3474, sub-§4</w:t>
      </w:r>
      <w:r>
        <w:rPr>
          <w:rFonts w:ascii="Arial" w:eastAsia="Arial" w:hAnsi="Arial" w:cs="Arial"/>
        </w:rPr>
        <w:t xml:space="preserve"> is enacted to read:</w:t>
      </w:r>
    </w:p>
    <w:p w:rsidR="0048389E" w:rsidP="0048389E">
      <w:pPr>
        <w:ind w:left="360" w:firstLine="360"/>
        <w:rPr>
          <w:rFonts w:ascii="Arial" w:eastAsia="Arial" w:hAnsi="Arial" w:cs="Arial"/>
        </w:rPr>
      </w:pPr>
      <w:bookmarkStart w:id="181" w:name="_STATUTE_NUMBER__3a2e07e4_b169_4a82_9ab2"/>
      <w:bookmarkStart w:id="182" w:name="_REV__17cbf958_f359_414e_9728_17762617b7"/>
      <w:bookmarkStart w:id="183" w:name="_STATUTE_SS__1a06960b_3319_412b_8a70_880"/>
      <w:bookmarkStart w:id="184" w:name="_PROCESSED_CHANGE__a624d51c_ffa1_450c_b3"/>
      <w:bookmarkStart w:id="185" w:name="_PROCESSED_CHANGE__a338a40b_1c69_402f_b0"/>
      <w:bookmarkStart w:id="186" w:name="_PROCESSED_CHANGE__16a19960_e726_4037_a6"/>
      <w:bookmarkStart w:id="187" w:name="_PROCESSED_CHANGE__62fd822a_e2de_422e_8b"/>
      <w:bookmarkStart w:id="188" w:name="_PROCESSED_CHANGE__83642e6f_386f_4cee_b2"/>
      <w:bookmarkStart w:id="189" w:name="_PROCESSED_CHANGE__5dac805e_e2c1_4fe0_a9"/>
      <w:bookmarkEnd w:id="178"/>
      <w:r>
        <w:rPr>
          <w:rFonts w:ascii="Arial" w:eastAsia="Arial" w:hAnsi="Arial" w:cs="Arial"/>
          <w:b/>
          <w:u w:val="single"/>
        </w:rPr>
        <w:t>4</w:t>
      </w:r>
      <w:bookmarkEnd w:id="181"/>
      <w:r>
        <w:rPr>
          <w:rFonts w:ascii="Arial" w:eastAsia="Arial" w:hAnsi="Arial" w:cs="Arial"/>
          <w:b/>
          <w:u w:val="single"/>
        </w:rPr>
        <w:t xml:space="preserve">.  </w:t>
      </w:r>
      <w:bookmarkStart w:id="190" w:name="_STATUTE_HEADNOTE__9ae15c8e_53c9_4c43_ab"/>
      <w:r>
        <w:rPr>
          <w:rFonts w:ascii="Arial" w:eastAsia="Arial" w:hAnsi="Arial" w:cs="Arial"/>
          <w:b/>
          <w:u w:val="single"/>
        </w:rPr>
        <w:t>Interconnect</w:t>
      </w:r>
      <w:r>
        <w:rPr>
          <w:rFonts w:ascii="Arial" w:eastAsia="Arial" w:hAnsi="Arial" w:cs="Arial"/>
          <w:b/>
          <w:u w:val="single"/>
        </w:rPr>
        <w:t>ion o</w:t>
      </w:r>
      <w:r>
        <w:rPr>
          <w:rFonts w:ascii="Arial" w:eastAsia="Arial" w:hAnsi="Arial" w:cs="Arial"/>
          <w:b/>
          <w:u w:val="single"/>
        </w:rPr>
        <w:t xml:space="preserve">mbudsman; fund. </w:t>
      </w:r>
      <w:r>
        <w:rPr>
          <w:rFonts w:ascii="Arial" w:eastAsia="Arial" w:hAnsi="Arial" w:cs="Arial"/>
          <w:u w:val="single"/>
        </w:rPr>
        <w:t xml:space="preserve"> </w:t>
      </w:r>
      <w:bookmarkStart w:id="191" w:name="_STATUTE_CONTENT__9a29df1d_7668_4879_86b"/>
      <w:bookmarkEnd w:id="190"/>
      <w:r>
        <w:rPr>
          <w:rFonts w:ascii="Arial" w:eastAsia="Arial" w:hAnsi="Arial" w:cs="Arial"/>
          <w:u w:val="single"/>
        </w:rPr>
        <w:t xml:space="preserve">The interconnection ombudsman appointed pursuant to section 107, subsection 1 shall assist persons seeking interconnections governed by rules adopted under subsection 3.  The commission shall appoint an </w:t>
      </w:r>
      <w:r>
        <w:rPr>
          <w:rFonts w:ascii="Arial" w:eastAsia="Arial" w:hAnsi="Arial" w:cs="Arial"/>
          <w:u w:val="single"/>
        </w:rPr>
        <w:t xml:space="preserve">interconnection </w:t>
      </w:r>
      <w:r>
        <w:rPr>
          <w:rFonts w:ascii="Arial" w:eastAsia="Arial" w:hAnsi="Arial" w:cs="Arial"/>
          <w:u w:val="single"/>
        </w:rPr>
        <w:t xml:space="preserve">ombudsman who possesses technical expertise related to interconnection and interconnection procedures. </w:t>
      </w:r>
    </w:p>
    <w:p w:rsidR="0048389E" w:rsidP="0048389E">
      <w:pPr>
        <w:ind w:left="720"/>
        <w:rPr>
          <w:rFonts w:ascii="Arial" w:eastAsia="Arial" w:hAnsi="Arial" w:cs="Arial"/>
        </w:rPr>
      </w:pPr>
      <w:bookmarkStart w:id="192" w:name="_STATUTE_NUMBER__4057423c_6039_4a61_ada6"/>
      <w:bookmarkStart w:id="193" w:name="_REV__d93323b3_0935_4f70_b3b2_50f203899a"/>
      <w:bookmarkStart w:id="194" w:name="_STATUTE_P__deca5fc2_e8a1_48b8_8857_f88b"/>
      <w:bookmarkEnd w:id="182"/>
      <w:bookmarkEnd w:id="191"/>
      <w:r>
        <w:rPr>
          <w:rFonts w:ascii="Arial" w:eastAsia="Arial" w:hAnsi="Arial" w:cs="Arial"/>
          <w:u w:val="single"/>
        </w:rPr>
        <w:t>A</w:t>
      </w:r>
      <w:bookmarkEnd w:id="192"/>
      <w:r>
        <w:rPr>
          <w:rFonts w:ascii="Arial" w:eastAsia="Arial" w:hAnsi="Arial" w:cs="Arial"/>
          <w:u w:val="single"/>
        </w:rPr>
        <w:t xml:space="preserve">. </w:t>
      </w:r>
      <w:bookmarkStart w:id="195" w:name="_STATUTE_CONTENT__e9bd1f6c_028d_487a_848"/>
      <w:r>
        <w:rPr>
          <w:rFonts w:ascii="Arial" w:eastAsia="Arial" w:hAnsi="Arial" w:cs="Arial"/>
          <w:u w:val="single"/>
        </w:rPr>
        <w:t xml:space="preserve">The duties of the </w:t>
      </w:r>
      <w:r>
        <w:rPr>
          <w:rFonts w:ascii="Arial" w:eastAsia="Arial" w:hAnsi="Arial" w:cs="Arial"/>
          <w:u w:val="single"/>
        </w:rPr>
        <w:t xml:space="preserve">interconnection </w:t>
      </w:r>
      <w:r>
        <w:rPr>
          <w:rFonts w:ascii="Arial" w:eastAsia="Arial" w:hAnsi="Arial" w:cs="Arial"/>
          <w:u w:val="single"/>
        </w:rPr>
        <w:t>ombudsman include but are not limited to:</w:t>
      </w:r>
    </w:p>
    <w:p w:rsidR="0048389E" w:rsidP="0048389E">
      <w:pPr>
        <w:ind w:left="1080"/>
        <w:rPr>
          <w:rFonts w:ascii="Arial" w:eastAsia="Arial" w:hAnsi="Arial" w:cs="Arial"/>
        </w:rPr>
      </w:pPr>
      <w:bookmarkStart w:id="196" w:name="_STATUTE_SP__8a4db361_181f_4d42_b7d5_9b8"/>
      <w:bookmarkStart w:id="197" w:name="_REV__b18d7ad7_91c0_4bac_bd68_717df03669"/>
      <w:bookmarkEnd w:id="193"/>
      <w:bookmarkEnd w:id="195"/>
      <w:r>
        <w:rPr>
          <w:rFonts w:ascii="Arial" w:eastAsia="Arial" w:hAnsi="Arial" w:cs="Arial"/>
          <w:u w:val="single"/>
        </w:rPr>
        <w:t>(</w:t>
      </w:r>
      <w:bookmarkStart w:id="198" w:name="_STATUTE_NUMBER__3bca8d91_1091_4845_b54e"/>
      <w:r>
        <w:rPr>
          <w:rFonts w:ascii="Arial" w:eastAsia="Arial" w:hAnsi="Arial" w:cs="Arial"/>
          <w:u w:val="single"/>
        </w:rPr>
        <w:t>1</w:t>
      </w:r>
      <w:bookmarkEnd w:id="198"/>
      <w:r>
        <w:rPr>
          <w:rFonts w:ascii="Arial" w:eastAsia="Arial" w:hAnsi="Arial" w:cs="Arial"/>
          <w:u w:val="single"/>
        </w:rPr>
        <w:t xml:space="preserve">) </w:t>
      </w:r>
      <w:bookmarkStart w:id="199" w:name="_STATUTE_CONTENT__75168b2c_39af_4fb9_bc2"/>
      <w:r>
        <w:rPr>
          <w:rFonts w:ascii="Arial" w:eastAsia="Arial" w:hAnsi="Arial" w:cs="Arial"/>
          <w:u w:val="single"/>
        </w:rPr>
        <w:t>Tracking interconnection disputes;</w:t>
      </w:r>
    </w:p>
    <w:p w:rsidR="0048389E" w:rsidP="0048389E">
      <w:pPr>
        <w:ind w:left="1080"/>
        <w:rPr>
          <w:rFonts w:ascii="Arial" w:eastAsia="Arial" w:hAnsi="Arial" w:cs="Arial"/>
        </w:rPr>
      </w:pPr>
      <w:bookmarkStart w:id="200" w:name="_STATUTE_SP__74c9b6ab_5aeb_45b7_92f2_732"/>
      <w:bookmarkStart w:id="201" w:name="_REV__c3aebed9_9918_4c6a_93f0_39ed201b8a"/>
      <w:bookmarkEnd w:id="196"/>
      <w:bookmarkEnd w:id="197"/>
      <w:bookmarkEnd w:id="199"/>
      <w:r>
        <w:rPr>
          <w:rFonts w:ascii="Arial" w:eastAsia="Arial" w:hAnsi="Arial" w:cs="Arial"/>
          <w:u w:val="single"/>
        </w:rPr>
        <w:t>(</w:t>
      </w:r>
      <w:bookmarkStart w:id="202" w:name="_STATUTE_NUMBER__21634de4_0f2d_46ff_af82"/>
      <w:r>
        <w:rPr>
          <w:rFonts w:ascii="Arial" w:eastAsia="Arial" w:hAnsi="Arial" w:cs="Arial"/>
          <w:u w:val="single"/>
        </w:rPr>
        <w:t>2</w:t>
      </w:r>
      <w:bookmarkEnd w:id="202"/>
      <w:r>
        <w:rPr>
          <w:rFonts w:ascii="Arial" w:eastAsia="Arial" w:hAnsi="Arial" w:cs="Arial"/>
          <w:u w:val="single"/>
        </w:rPr>
        <w:t xml:space="preserve">) </w:t>
      </w:r>
      <w:bookmarkStart w:id="203" w:name="_STATUTE_CONTENT__8cff6a62_b240_40e7_b7e"/>
      <w:r>
        <w:rPr>
          <w:rFonts w:ascii="Arial" w:eastAsia="Arial" w:hAnsi="Arial" w:cs="Arial"/>
          <w:u w:val="single"/>
        </w:rPr>
        <w:t>Facilitating the efficient and fair resolution of disputes between customers seeking to interconnect and investor-owned transmission and distribution utilities;</w:t>
      </w:r>
    </w:p>
    <w:p w:rsidR="0048389E" w:rsidP="0048389E">
      <w:pPr>
        <w:ind w:left="1080"/>
        <w:rPr>
          <w:rFonts w:ascii="Arial" w:eastAsia="Arial" w:hAnsi="Arial" w:cs="Arial"/>
        </w:rPr>
      </w:pPr>
      <w:bookmarkStart w:id="204" w:name="_STATUTE_SP__00ef448d_1396_4b88_ad5c_6cf"/>
      <w:bookmarkStart w:id="205" w:name="_REV__9bf51f60_a835_4949_905e_ba656f70ee"/>
      <w:bookmarkEnd w:id="200"/>
      <w:bookmarkEnd w:id="201"/>
      <w:bookmarkEnd w:id="203"/>
      <w:r>
        <w:rPr>
          <w:rFonts w:ascii="Arial" w:eastAsia="Arial" w:hAnsi="Arial" w:cs="Arial"/>
          <w:u w:val="single"/>
        </w:rPr>
        <w:t>(</w:t>
      </w:r>
      <w:bookmarkStart w:id="206" w:name="_STATUTE_NUMBER__7d459542_4be6_4a99_b046"/>
      <w:r>
        <w:rPr>
          <w:rFonts w:ascii="Arial" w:eastAsia="Arial" w:hAnsi="Arial" w:cs="Arial"/>
          <w:u w:val="single"/>
        </w:rPr>
        <w:t>3</w:t>
      </w:r>
      <w:bookmarkEnd w:id="206"/>
      <w:r>
        <w:rPr>
          <w:rFonts w:ascii="Arial" w:eastAsia="Arial" w:hAnsi="Arial" w:cs="Arial"/>
          <w:u w:val="single"/>
        </w:rPr>
        <w:t xml:space="preserve">) </w:t>
      </w:r>
      <w:bookmarkStart w:id="207" w:name="_STATUTE_CONTENT__7a03a634_b5ea_425d_a8a"/>
      <w:r>
        <w:rPr>
          <w:rFonts w:ascii="Arial" w:eastAsia="Arial" w:hAnsi="Arial" w:cs="Arial"/>
          <w:u w:val="single"/>
        </w:rPr>
        <w:t>Reviewing investor-owned transmission and distribution utility interconnection policies to assess opportunities for reducing interconnection disputes;</w:t>
      </w:r>
    </w:p>
    <w:p w:rsidR="0048389E" w:rsidP="0048389E">
      <w:pPr>
        <w:ind w:left="1080"/>
        <w:rPr>
          <w:rFonts w:ascii="Arial" w:eastAsia="Arial" w:hAnsi="Arial" w:cs="Arial"/>
        </w:rPr>
      </w:pPr>
      <w:bookmarkStart w:id="208" w:name="_STATUTE_SP__3937ebde_846b_47c8_8771_9a1"/>
      <w:bookmarkStart w:id="209" w:name="_REV__3e46a6fe_e23d_4014_9081_21aa6d1e47"/>
      <w:bookmarkEnd w:id="204"/>
      <w:bookmarkEnd w:id="205"/>
      <w:bookmarkEnd w:id="207"/>
      <w:r>
        <w:rPr>
          <w:rFonts w:ascii="Arial" w:eastAsia="Arial" w:hAnsi="Arial" w:cs="Arial"/>
          <w:u w:val="single"/>
        </w:rPr>
        <w:t>(</w:t>
      </w:r>
      <w:bookmarkStart w:id="210" w:name="_STATUTE_NUMBER__e906df15_e0b0_492c_a9df"/>
      <w:r>
        <w:rPr>
          <w:rFonts w:ascii="Arial" w:eastAsia="Arial" w:hAnsi="Arial" w:cs="Arial"/>
          <w:u w:val="single"/>
        </w:rPr>
        <w:t>4</w:t>
      </w:r>
      <w:bookmarkEnd w:id="210"/>
      <w:r>
        <w:rPr>
          <w:rFonts w:ascii="Arial" w:eastAsia="Arial" w:hAnsi="Arial" w:cs="Arial"/>
          <w:u w:val="single"/>
        </w:rPr>
        <w:t xml:space="preserve">) </w:t>
      </w:r>
      <w:bookmarkStart w:id="211" w:name="_STATUTE_CONTENT__87cd94bd_c938_45df_b27"/>
      <w:r>
        <w:rPr>
          <w:rFonts w:ascii="Arial" w:eastAsia="Arial" w:hAnsi="Arial" w:cs="Arial"/>
          <w:u w:val="single"/>
        </w:rPr>
        <w:t>Convening stakeholder groups as necessary to facilitate effective communication between interconnection stakeholders; and</w:t>
      </w:r>
    </w:p>
    <w:p w:rsidR="0048389E" w:rsidP="0048389E">
      <w:pPr>
        <w:ind w:left="1080"/>
        <w:rPr>
          <w:rFonts w:ascii="Arial" w:eastAsia="Arial" w:hAnsi="Arial" w:cs="Arial"/>
        </w:rPr>
      </w:pPr>
      <w:bookmarkStart w:id="212" w:name="_STATUTE_SP__9318e5c1_c9b2_48f9_ad49_a1f"/>
      <w:bookmarkStart w:id="213" w:name="_REV__82e883eb_8020_492d_997d_ec20c85dd0"/>
      <w:bookmarkEnd w:id="208"/>
      <w:bookmarkEnd w:id="209"/>
      <w:bookmarkEnd w:id="211"/>
      <w:r>
        <w:rPr>
          <w:rFonts w:ascii="Arial" w:eastAsia="Arial" w:hAnsi="Arial" w:cs="Arial"/>
          <w:u w:val="single"/>
        </w:rPr>
        <w:t>(</w:t>
      </w:r>
      <w:bookmarkStart w:id="214" w:name="_STATUTE_NUMBER__5ffa9002_6388_4992_a58c"/>
      <w:r>
        <w:rPr>
          <w:rFonts w:ascii="Arial" w:eastAsia="Arial" w:hAnsi="Arial" w:cs="Arial"/>
          <w:u w:val="single"/>
        </w:rPr>
        <w:t>5</w:t>
      </w:r>
      <w:bookmarkEnd w:id="214"/>
      <w:r>
        <w:rPr>
          <w:rFonts w:ascii="Arial" w:eastAsia="Arial" w:hAnsi="Arial" w:cs="Arial"/>
          <w:u w:val="single"/>
        </w:rPr>
        <w:t xml:space="preserve">) </w:t>
      </w:r>
      <w:bookmarkStart w:id="215" w:name="_STATUTE_CONTENT__caf3070e_ad40_4f9a_a4e"/>
      <w:r>
        <w:rPr>
          <w:rFonts w:ascii="Arial" w:eastAsia="Arial" w:hAnsi="Arial" w:cs="Arial"/>
          <w:u w:val="single"/>
        </w:rPr>
        <w:t xml:space="preserve">Preparing reports that detail the number, type, resolution timeline and outcome of interconnection disputes. </w:t>
      </w:r>
    </w:p>
    <w:p w:rsidR="0048389E" w:rsidP="0048389E">
      <w:pPr>
        <w:ind w:left="720"/>
        <w:rPr>
          <w:rFonts w:ascii="Arial" w:eastAsia="Arial" w:hAnsi="Arial" w:cs="Arial"/>
        </w:rPr>
      </w:pPr>
      <w:bookmarkStart w:id="216" w:name="_STATUTE_NUMBER__719554a3_7923_4efd_9c2a"/>
      <w:bookmarkStart w:id="217" w:name="_STATUTE_P__e93dec72_55c2_49f4_8d0b_0571"/>
      <w:bookmarkStart w:id="218" w:name="_REV__be0a48d1_80f0_495d_80b5_d940106b3a"/>
      <w:bookmarkEnd w:id="194"/>
      <w:bookmarkEnd w:id="212"/>
      <w:bookmarkEnd w:id="213"/>
      <w:bookmarkEnd w:id="215"/>
      <w:r>
        <w:rPr>
          <w:rFonts w:ascii="Arial" w:eastAsia="Arial" w:hAnsi="Arial" w:cs="Arial"/>
          <w:u w:val="single"/>
        </w:rPr>
        <w:t>B</w:t>
      </w:r>
      <w:bookmarkEnd w:id="216"/>
      <w:r>
        <w:rPr>
          <w:rFonts w:ascii="Arial" w:eastAsia="Arial" w:hAnsi="Arial" w:cs="Arial"/>
          <w:u w:val="single"/>
        </w:rPr>
        <w:t xml:space="preserve">. </w:t>
      </w:r>
      <w:bookmarkStart w:id="219" w:name="_STATUTE_CONTENT__fd67acca_c76c_4126_b07"/>
      <w:r>
        <w:rPr>
          <w:rFonts w:ascii="Arial" w:eastAsia="Arial" w:hAnsi="Arial" w:cs="Arial"/>
          <w:u w:val="single"/>
        </w:rPr>
        <w:t xml:space="preserve">The commission by rule shall establish a fee to be paid by persons seeking interconnections to fund the </w:t>
      </w:r>
      <w:r>
        <w:rPr>
          <w:rFonts w:ascii="Arial" w:eastAsia="Arial" w:hAnsi="Arial" w:cs="Arial"/>
          <w:u w:val="single"/>
        </w:rPr>
        <w:t xml:space="preserve">interconnection </w:t>
      </w:r>
      <w:r>
        <w:rPr>
          <w:rFonts w:ascii="Arial" w:eastAsia="Arial" w:hAnsi="Arial" w:cs="Arial"/>
          <w:u w:val="single"/>
        </w:rPr>
        <w:t xml:space="preserve">ombudsman. Notwithstanding Title 5, section 8071, rules adopted under this </w:t>
      </w:r>
      <w:r>
        <w:rPr>
          <w:rFonts w:ascii="Arial" w:eastAsia="Arial" w:hAnsi="Arial" w:cs="Arial"/>
          <w:u w:val="single"/>
        </w:rPr>
        <w:t>paragraph</w:t>
      </w:r>
      <w:r>
        <w:rPr>
          <w:rFonts w:ascii="Arial" w:eastAsia="Arial" w:hAnsi="Arial" w:cs="Arial"/>
          <w:u w:val="single"/>
        </w:rPr>
        <w:t xml:space="preserve"> are routine technical rules as defined in Title 5, chapter 375, subchapter 2-A.   </w:t>
      </w:r>
    </w:p>
    <w:p w:rsidR="0048389E" w:rsidP="0048389E">
      <w:pPr>
        <w:ind w:left="720"/>
        <w:rPr>
          <w:rFonts w:ascii="Arial" w:eastAsia="Arial" w:hAnsi="Arial" w:cs="Arial"/>
        </w:rPr>
      </w:pPr>
      <w:bookmarkStart w:id="220" w:name="_STATUTE_NUMBER__d9bcabf2_4f05_4f0c_9b42"/>
      <w:bookmarkStart w:id="221" w:name="_STATUTE_P__a1860e6f_6bcc_4d51_9e46_bbbf"/>
      <w:bookmarkStart w:id="222" w:name="_REV__f5b07b5a_6be5_47b6_931e_bc6b091aee"/>
      <w:bookmarkEnd w:id="217"/>
      <w:bookmarkEnd w:id="218"/>
      <w:bookmarkEnd w:id="219"/>
      <w:r>
        <w:rPr>
          <w:rFonts w:ascii="Arial" w:eastAsia="Arial" w:hAnsi="Arial" w:cs="Arial"/>
          <w:u w:val="single"/>
        </w:rPr>
        <w:t>C</w:t>
      </w:r>
      <w:bookmarkEnd w:id="220"/>
      <w:r>
        <w:rPr>
          <w:rFonts w:ascii="Arial" w:eastAsia="Arial" w:hAnsi="Arial" w:cs="Arial"/>
          <w:u w:val="single"/>
        </w:rPr>
        <w:t xml:space="preserve">. </w:t>
      </w:r>
      <w:bookmarkStart w:id="223" w:name="_STATUTE_CONTENT__1791a0e8_4ab1_46c2_9bf"/>
      <w:r>
        <w:rPr>
          <w:rFonts w:ascii="Arial" w:eastAsia="Arial" w:hAnsi="Arial" w:cs="Arial"/>
          <w:u w:val="single"/>
        </w:rPr>
        <w:t xml:space="preserve">The </w:t>
      </w:r>
      <w:r>
        <w:rPr>
          <w:rFonts w:ascii="Arial" w:eastAsia="Arial" w:hAnsi="Arial" w:cs="Arial"/>
          <w:u w:val="single"/>
        </w:rPr>
        <w:t xml:space="preserve">interconnection </w:t>
      </w:r>
      <w:r>
        <w:rPr>
          <w:rFonts w:ascii="Arial" w:eastAsia="Arial" w:hAnsi="Arial" w:cs="Arial"/>
          <w:u w:val="single"/>
        </w:rPr>
        <w:t xml:space="preserve">ombudsman fund is established within the commission as a nonlapsing fund for the purposes of funding the interconnection ombudsman. The commission shall deposit all fees collected under this subsection into the fund and all money in the fund must be used to fully fund the </w:t>
      </w:r>
      <w:r>
        <w:rPr>
          <w:rFonts w:ascii="Arial" w:eastAsia="Arial" w:hAnsi="Arial" w:cs="Arial"/>
          <w:u w:val="single"/>
        </w:rPr>
        <w:t xml:space="preserve">interconnection </w:t>
      </w:r>
      <w:r>
        <w:rPr>
          <w:rFonts w:ascii="Arial" w:eastAsia="Arial" w:hAnsi="Arial" w:cs="Arial"/>
          <w:u w:val="single"/>
        </w:rPr>
        <w:t>ombudsman. In addition to the fees established in accordance with this subsection, the fund may accept federal money and contributions from private and public sources.</w:t>
      </w:r>
    </w:p>
    <w:p w:rsidR="0048389E" w:rsidP="0048389E">
      <w:pPr>
        <w:ind w:left="360" w:firstLine="360"/>
        <w:rPr>
          <w:rFonts w:ascii="Arial" w:eastAsia="Arial" w:hAnsi="Arial" w:cs="Arial"/>
        </w:rPr>
      </w:pPr>
      <w:bookmarkStart w:id="224" w:name="_BILL_SECTION_UNALLOCATED__07288cf4_2de6"/>
      <w:bookmarkEnd w:id="179"/>
      <w:bookmarkEnd w:id="183"/>
      <w:bookmarkEnd w:id="184"/>
      <w:bookmarkEnd w:id="185"/>
      <w:bookmarkEnd w:id="186"/>
      <w:bookmarkEnd w:id="187"/>
      <w:bookmarkEnd w:id="188"/>
      <w:bookmarkEnd w:id="189"/>
      <w:bookmarkEnd w:id="221"/>
      <w:bookmarkEnd w:id="222"/>
      <w:bookmarkEnd w:id="223"/>
      <w:r>
        <w:rPr>
          <w:rFonts w:ascii="Arial" w:eastAsia="Arial" w:hAnsi="Arial" w:cs="Arial"/>
          <w:b/>
          <w:sz w:val="24"/>
        </w:rPr>
        <w:t xml:space="preserve">Sec. </w:t>
      </w:r>
      <w:bookmarkStart w:id="225" w:name="_BILL_SECTION_NUMBER__b10eb5ca_d008_4624"/>
      <w:r>
        <w:rPr>
          <w:rFonts w:ascii="Arial" w:eastAsia="Arial" w:hAnsi="Arial" w:cs="Arial"/>
          <w:b/>
          <w:sz w:val="24"/>
        </w:rPr>
        <w:t>7</w:t>
      </w:r>
      <w:bookmarkEnd w:id="225"/>
      <w:r>
        <w:rPr>
          <w:rFonts w:ascii="Arial" w:eastAsia="Arial" w:hAnsi="Arial" w:cs="Arial"/>
          <w:b/>
          <w:sz w:val="24"/>
        </w:rPr>
        <w:t>.</w:t>
      </w:r>
      <w:r>
        <w:rPr>
          <w:rFonts w:ascii="Arial" w:eastAsia="Arial" w:hAnsi="Arial" w:cs="Arial"/>
        </w:rPr>
        <w:t xml:space="preserve"> </w:t>
      </w:r>
      <w:r w:rsidRPr="00D10B6E">
        <w:rPr>
          <w:rFonts w:ascii="Arial" w:eastAsia="Arial" w:hAnsi="Arial" w:cs="Arial"/>
          <w:b/>
          <w:sz w:val="24"/>
          <w:szCs w:val="24"/>
        </w:rPr>
        <w:t>Solar interconnection cost allocation method and rules.</w:t>
      </w:r>
      <w:r>
        <w:rPr>
          <w:rFonts w:ascii="Arial" w:eastAsia="Arial" w:hAnsi="Arial" w:cs="Arial"/>
        </w:rPr>
        <w:t xml:space="preserve"> The Public Utilities Commission shall:</w:t>
      </w:r>
    </w:p>
    <w:p w:rsidR="0048389E" w:rsidP="0048389E">
      <w:pPr>
        <w:ind w:left="360" w:firstLine="360"/>
        <w:rPr>
          <w:rFonts w:ascii="Arial" w:eastAsia="Arial" w:hAnsi="Arial" w:cs="Arial"/>
        </w:rPr>
      </w:pPr>
      <w:r>
        <w:rPr>
          <w:rFonts w:ascii="Arial" w:eastAsia="Arial" w:hAnsi="Arial" w:cs="Arial"/>
        </w:rPr>
        <w:t xml:space="preserve">1. Within 6 months of the effective date of this Act, adopt interconnection rules in accordance with the Maine Revised Statutes, Title 35-A, section 3474, subsection 3 that prioritize interconnection of solar resources and energy storage systems owned by customers of investor-owned transmission and distribution utilities and used to serve an on-site load;  </w:t>
      </w:r>
    </w:p>
    <w:p w:rsidR="0048389E" w:rsidP="0048389E">
      <w:pPr>
        <w:ind w:left="360" w:firstLine="360"/>
        <w:rPr>
          <w:rFonts w:ascii="Arial" w:eastAsia="Arial" w:hAnsi="Arial" w:cs="Arial"/>
        </w:rPr>
      </w:pPr>
      <w:r>
        <w:rPr>
          <w:rFonts w:ascii="Arial" w:eastAsia="Arial" w:hAnsi="Arial" w:cs="Arial"/>
        </w:rPr>
        <w:t>2. Within 12 months of the effective date of this Act, make a good faith effort to appoint an interconnection ombudsman with expertise related to interconnection of distributed generation resources, including solar resources and energy storage systems; and</w:t>
      </w:r>
    </w:p>
    <w:p w:rsidR="0048389E" w:rsidP="0048389E">
      <w:pPr>
        <w:ind w:left="360" w:firstLine="360"/>
        <w:rPr>
          <w:rFonts w:ascii="Arial" w:eastAsia="Arial" w:hAnsi="Arial" w:cs="Arial"/>
        </w:rPr>
      </w:pPr>
      <w:r>
        <w:rPr>
          <w:rFonts w:ascii="Arial" w:eastAsia="Arial" w:hAnsi="Arial" w:cs="Arial"/>
        </w:rPr>
        <w:t>3. Within 6 months of the effective date of this Act, contract with an expert to evaluate whether treating distributed generation resources that use the tariff rate program under the Maine Revised Statutes, Title 35-A, section 3209-B as load-reducing resources would provide greater value to all ratepayers than the treatment of those resources as wholesale generation resources. The expert shall also evaluate whether the tariff rate program has been implemented in a way that maximizes the value of the portfolio of the resources to all ratepayers. By September 1, 2024, the commission shall provide a copy of the expert's report and a description of any actions the commission recommends with respect to the findings in the report to the joint standing committee of the Legislature having jurisdiction over energy matters. The joint standing committee may report out a bill to the 132nd Legislature in 2025 related to the report.</w:t>
      </w:r>
    </w:p>
    <w:p w:rsidR="0048389E" w:rsidP="0048389E">
      <w:pPr>
        <w:ind w:left="360" w:firstLine="360"/>
        <w:rPr>
          <w:rFonts w:ascii="Arial" w:eastAsia="Arial" w:hAnsi="Arial" w:cs="Arial"/>
        </w:rPr>
      </w:pPr>
      <w:bookmarkStart w:id="226" w:name="_BILL_SECTION_UNALLOCATED__6f5d93bb_ea71"/>
      <w:bookmarkEnd w:id="224"/>
      <w:r>
        <w:rPr>
          <w:rFonts w:ascii="Arial" w:eastAsia="Arial" w:hAnsi="Arial" w:cs="Arial"/>
          <w:b/>
          <w:sz w:val="24"/>
        </w:rPr>
        <w:t xml:space="preserve">Sec. </w:t>
      </w:r>
      <w:bookmarkStart w:id="227" w:name="_BILL_SECTION_NUMBER__02df9d44_4c60_49c0"/>
      <w:r>
        <w:rPr>
          <w:rFonts w:ascii="Arial" w:eastAsia="Arial" w:hAnsi="Arial" w:cs="Arial"/>
          <w:b/>
          <w:sz w:val="24"/>
        </w:rPr>
        <w:t>8</w:t>
      </w:r>
      <w:bookmarkEnd w:id="227"/>
      <w:r>
        <w:rPr>
          <w:rFonts w:ascii="Arial" w:eastAsia="Arial" w:hAnsi="Arial" w:cs="Arial"/>
          <w:b/>
          <w:sz w:val="24"/>
        </w:rPr>
        <w:t>.</w:t>
      </w:r>
      <w:r>
        <w:rPr>
          <w:rFonts w:ascii="Arial" w:eastAsia="Arial" w:hAnsi="Arial" w:cs="Arial"/>
        </w:rPr>
        <w:t xml:space="preserve"> </w:t>
      </w:r>
      <w:r w:rsidRPr="00D10B6E">
        <w:rPr>
          <w:rFonts w:ascii="Arial" w:eastAsia="Arial" w:hAnsi="Arial" w:cs="Arial"/>
          <w:b/>
          <w:sz w:val="24"/>
          <w:szCs w:val="24"/>
        </w:rPr>
        <w:t>Interconnection working group.</w:t>
      </w:r>
      <w:r>
        <w:rPr>
          <w:rFonts w:ascii="Arial" w:eastAsia="Arial" w:hAnsi="Arial" w:cs="Arial"/>
        </w:rPr>
        <w:t xml:space="preserve"> The Public Utilities Commission shall convene a working group, referred to in this section as "the working group," to collaborate to prevent and resolve disputes relating to the implementation of the State's small generator interconnection procedures for Level 1 and Level 2 facilities, as defined in Chapter 324 of the commission's rules.</w:t>
      </w:r>
    </w:p>
    <w:p w:rsidR="0048389E" w:rsidP="0048389E">
      <w:pPr>
        <w:ind w:left="360" w:firstLine="360"/>
        <w:rPr>
          <w:rFonts w:ascii="Arial" w:eastAsia="Arial" w:hAnsi="Arial" w:cs="Arial"/>
        </w:rPr>
      </w:pPr>
      <w:r>
        <w:rPr>
          <w:rFonts w:ascii="Arial" w:eastAsia="Arial" w:hAnsi="Arial" w:cs="Arial"/>
        </w:rPr>
        <w:t>1. The working group's duties include the identification and discussion of issues related to:</w:t>
      </w:r>
    </w:p>
    <w:p w:rsidR="0048389E" w:rsidP="0048389E">
      <w:pPr>
        <w:ind w:left="720"/>
        <w:rPr>
          <w:rFonts w:ascii="Arial" w:eastAsia="Arial" w:hAnsi="Arial" w:cs="Arial"/>
        </w:rPr>
      </w:pPr>
      <w:r>
        <w:rPr>
          <w:rFonts w:ascii="Arial" w:eastAsia="Arial" w:hAnsi="Arial" w:cs="Arial"/>
        </w:rPr>
        <w:t>A. Transparency of investor-owned transmission and distribution utility activities in the interconnection process;</w:t>
      </w:r>
    </w:p>
    <w:p w:rsidR="0048389E" w:rsidP="0048389E">
      <w:pPr>
        <w:ind w:left="720"/>
        <w:rPr>
          <w:rFonts w:ascii="Arial" w:eastAsia="Arial" w:hAnsi="Arial" w:cs="Arial"/>
        </w:rPr>
      </w:pPr>
      <w:r>
        <w:rPr>
          <w:rFonts w:ascii="Arial" w:eastAsia="Arial" w:hAnsi="Arial" w:cs="Arial"/>
        </w:rPr>
        <w:t>B. Current and emerging technical issues resulting in disputes between the State's investor-owned transmission and distribution utilities and customers seeking to interconnect;</w:t>
      </w:r>
    </w:p>
    <w:p w:rsidR="0048389E" w:rsidP="0048389E">
      <w:pPr>
        <w:ind w:left="720"/>
        <w:rPr>
          <w:rFonts w:ascii="Arial" w:eastAsia="Arial" w:hAnsi="Arial" w:cs="Arial"/>
        </w:rPr>
      </w:pPr>
      <w:r>
        <w:rPr>
          <w:rFonts w:ascii="Arial" w:eastAsia="Arial" w:hAnsi="Arial" w:cs="Arial"/>
        </w:rPr>
        <w:t>C. Circuits and line sections that have been determined to be unsafe for the interconnection of Level 1 facilities; and</w:t>
      </w:r>
    </w:p>
    <w:p w:rsidR="0048389E" w:rsidP="0048389E">
      <w:pPr>
        <w:ind w:left="720"/>
        <w:rPr>
          <w:rFonts w:ascii="Arial" w:eastAsia="Arial" w:hAnsi="Arial" w:cs="Arial"/>
        </w:rPr>
      </w:pPr>
      <w:r>
        <w:rPr>
          <w:rFonts w:ascii="Arial" w:eastAsia="Arial" w:hAnsi="Arial" w:cs="Arial"/>
        </w:rPr>
        <w:t xml:space="preserve">D. Topics that would be appropriately included in the duties of the interconnection ombudsman. </w:t>
      </w:r>
    </w:p>
    <w:p w:rsidR="0048389E" w:rsidP="0048389E">
      <w:pPr>
        <w:ind w:left="360" w:firstLine="360"/>
        <w:rPr>
          <w:rFonts w:ascii="Arial" w:eastAsia="Arial" w:hAnsi="Arial" w:cs="Arial"/>
        </w:rPr>
      </w:pPr>
      <w:r>
        <w:rPr>
          <w:rFonts w:ascii="Arial" w:eastAsia="Arial" w:hAnsi="Arial" w:cs="Arial"/>
        </w:rPr>
        <w:t>2. The working group shall hold monthly meetings for its first year, and thereafter the working group shall meet at least quarterly until the commission submits its final report in 2025.</w:t>
      </w:r>
    </w:p>
    <w:p w:rsidR="0048389E" w:rsidP="0048389E">
      <w:pPr>
        <w:ind w:left="360" w:firstLine="360"/>
        <w:rPr>
          <w:rFonts w:ascii="Arial" w:eastAsia="Arial" w:hAnsi="Arial" w:cs="Arial"/>
        </w:rPr>
      </w:pPr>
      <w:r>
        <w:rPr>
          <w:rFonts w:ascii="Arial" w:eastAsia="Arial" w:hAnsi="Arial" w:cs="Arial"/>
        </w:rPr>
        <w:t>3. The members of the working group must include:</w:t>
      </w:r>
    </w:p>
    <w:p w:rsidR="0048389E" w:rsidP="0048389E">
      <w:pPr>
        <w:ind w:left="720"/>
        <w:rPr>
          <w:rFonts w:ascii="Arial" w:eastAsia="Arial" w:hAnsi="Arial" w:cs="Arial"/>
        </w:rPr>
      </w:pPr>
      <w:r>
        <w:rPr>
          <w:rFonts w:ascii="Arial" w:eastAsia="Arial" w:hAnsi="Arial" w:cs="Arial"/>
        </w:rPr>
        <w:t>A. One or more representatives from Central Maine Power Company;</w:t>
      </w:r>
    </w:p>
    <w:p w:rsidR="0048389E" w:rsidP="0048389E">
      <w:pPr>
        <w:ind w:left="720"/>
        <w:rPr>
          <w:rFonts w:ascii="Arial" w:eastAsia="Arial" w:hAnsi="Arial" w:cs="Arial"/>
        </w:rPr>
      </w:pPr>
      <w:r>
        <w:rPr>
          <w:rFonts w:ascii="Arial" w:eastAsia="Arial" w:hAnsi="Arial" w:cs="Arial"/>
        </w:rPr>
        <w:t>B. One or more representatives from Versant Power;</w:t>
      </w:r>
    </w:p>
    <w:p w:rsidR="0048389E" w:rsidP="0048389E">
      <w:pPr>
        <w:ind w:left="720"/>
        <w:rPr>
          <w:rFonts w:ascii="Arial" w:eastAsia="Arial" w:hAnsi="Arial" w:cs="Arial"/>
        </w:rPr>
      </w:pPr>
      <w:r>
        <w:rPr>
          <w:rFonts w:ascii="Arial" w:eastAsia="Arial" w:hAnsi="Arial" w:cs="Arial"/>
        </w:rPr>
        <w:t xml:space="preserve">C. Representatives from 2 or more companies engaged in the development and construction of Level 1 and Level 2 facilities in the Central Maine Power Company service territory; </w:t>
      </w:r>
    </w:p>
    <w:p w:rsidR="0048389E" w:rsidP="0048389E">
      <w:pPr>
        <w:ind w:left="720"/>
        <w:rPr>
          <w:rFonts w:ascii="Arial" w:eastAsia="Arial" w:hAnsi="Arial" w:cs="Arial"/>
        </w:rPr>
      </w:pPr>
      <w:r>
        <w:rPr>
          <w:rFonts w:ascii="Arial" w:eastAsia="Arial" w:hAnsi="Arial" w:cs="Arial"/>
        </w:rPr>
        <w:t xml:space="preserve">D. Representatives from 2 or more companies engaged in the development and construction of Level 1 and Level 2 facilities in the Versant Power service territory; and </w:t>
      </w:r>
    </w:p>
    <w:p w:rsidR="0048389E" w:rsidP="0048389E">
      <w:pPr>
        <w:ind w:left="720"/>
        <w:rPr>
          <w:rFonts w:ascii="Arial" w:eastAsia="Arial" w:hAnsi="Arial" w:cs="Arial"/>
        </w:rPr>
      </w:pPr>
      <w:r>
        <w:rPr>
          <w:rFonts w:ascii="Arial" w:eastAsia="Arial" w:hAnsi="Arial" w:cs="Arial"/>
        </w:rPr>
        <w:t xml:space="preserve">E. Any other person that the commission determines necessary to ensure that all interests related to interconnection issues are fairly represented. </w:t>
      </w:r>
    </w:p>
    <w:p w:rsidR="0048389E" w:rsidP="0048389E">
      <w:pPr>
        <w:ind w:left="360" w:firstLine="360"/>
        <w:rPr>
          <w:rFonts w:ascii="Arial" w:eastAsia="Arial" w:hAnsi="Arial" w:cs="Arial"/>
        </w:rPr>
      </w:pPr>
      <w:r>
        <w:rPr>
          <w:rFonts w:ascii="Arial" w:eastAsia="Arial" w:hAnsi="Arial" w:cs="Arial"/>
        </w:rPr>
        <w:t>4. By December 6, 2023, the commission shall submit a report summarizing the working group's activities under this section to the joint standing committee of the Legislature having jurisdiction over energy matters. The commission shall submit to the committee an additional report by December 6, 2024 and a final report of the working group by December 6, 2025. The committee may report out a bill to the Second Regular Session of the 132nd Legislature regarding the contents of the final report.</w:t>
      </w:r>
    </w:p>
    <w:p w:rsidR="0048389E" w:rsidP="0048389E">
      <w:pPr>
        <w:ind w:left="360" w:firstLine="360"/>
        <w:rPr>
          <w:rFonts w:ascii="Arial" w:eastAsia="Arial" w:hAnsi="Arial" w:cs="Arial"/>
        </w:rPr>
      </w:pPr>
      <w:bookmarkStart w:id="228" w:name="_APPROP_SECTION__86be02f1_3286_4291_9f58"/>
      <w:bookmarkEnd w:id="226"/>
      <w:r>
        <w:rPr>
          <w:rFonts w:ascii="Arial" w:eastAsia="Arial" w:hAnsi="Arial" w:cs="Arial"/>
          <w:b/>
          <w:sz w:val="24"/>
        </w:rPr>
        <w:t xml:space="preserve">Sec. </w:t>
      </w:r>
      <w:bookmarkStart w:id="229" w:name="_BILL_SECTION_NUMBER__50a90fc3_318a_44d8"/>
      <w:r>
        <w:rPr>
          <w:rFonts w:ascii="Arial" w:eastAsia="Arial" w:hAnsi="Arial" w:cs="Arial"/>
          <w:b/>
          <w:sz w:val="24"/>
        </w:rPr>
        <w:t>9</w:t>
      </w:r>
      <w:bookmarkEnd w:id="229"/>
      <w:r>
        <w:rPr>
          <w:rFonts w:ascii="Arial" w:eastAsia="Arial" w:hAnsi="Arial" w:cs="Arial"/>
          <w:b/>
          <w:sz w:val="24"/>
        </w:rPr>
        <w:t>.  Appropriations and allocations.</w:t>
      </w:r>
      <w:r>
        <w:rPr>
          <w:rFonts w:ascii="Arial" w:eastAsia="Arial" w:hAnsi="Arial" w:cs="Arial"/>
        </w:rPr>
        <w:t>  The following appropriations and allocations are made.</w:t>
      </w:r>
    </w:p>
    <w:p w:rsidR="0048389E" w:rsidP="0048389E">
      <w:pPr>
        <w:pStyle w:val="BPSParagraphLeftAlign"/>
        <w:suppressAutoHyphens/>
        <w:ind w:left="360"/>
        <w:rPr>
          <w:rFonts w:ascii="Arial" w:eastAsia="Arial" w:hAnsi="Arial" w:cs="Arial"/>
        </w:rPr>
      </w:pPr>
      <w:r>
        <w:rPr>
          <w:rFonts w:ascii="Arial" w:eastAsia="Arial" w:hAnsi="Arial" w:cs="Arial"/>
          <w:b/>
        </w:rPr>
        <w:t>PUBLIC UTILITIES COMMISSION</w:t>
      </w:r>
    </w:p>
    <w:p w:rsidR="0048389E" w:rsidP="0048389E">
      <w:pPr>
        <w:pStyle w:val="BPSParagraphLeftAlign"/>
        <w:suppressAutoHyphens/>
        <w:ind w:left="360"/>
        <w:rPr>
          <w:rFonts w:ascii="Arial" w:eastAsia="Arial" w:hAnsi="Arial" w:cs="Arial"/>
        </w:rPr>
      </w:pPr>
      <w:r>
        <w:rPr>
          <w:rFonts w:ascii="Arial" w:eastAsia="Arial" w:hAnsi="Arial" w:cs="Arial"/>
          <w:b/>
        </w:rPr>
        <w:t>Public Utilities - Administrative Division 0184</w:t>
      </w:r>
    </w:p>
    <w:p w:rsidR="0048389E" w:rsidP="0048389E">
      <w:pPr>
        <w:ind w:left="360"/>
        <w:rPr>
          <w:rFonts w:ascii="Arial" w:eastAsia="Arial" w:hAnsi="Arial" w:cs="Arial"/>
        </w:rPr>
      </w:pPr>
      <w:r>
        <w:rPr>
          <w:rFonts w:ascii="Arial" w:eastAsia="Arial" w:hAnsi="Arial" w:cs="Arial"/>
        </w:rPr>
        <w:t>Initiative: Provides one-time allocations for expenditures related to contracted consulting services and related STA-CAP.</w:t>
      </w:r>
    </w:p>
    <w:tbl>
      <w:tblPr>
        <w:tblStyle w:val="BPSTable"/>
        <w:tblW w:w="0" w:type="auto"/>
        <w:tblInd w:w="360" w:type="dxa"/>
        <w:tblCellMar>
          <w:left w:w="0" w:type="dxa"/>
          <w:right w:w="0" w:type="dxa"/>
        </w:tblCellMar>
        <w:tblLook w:val="04A0"/>
      </w:tblPr>
      <w:tblGrid>
        <w:gridCol w:w="5009"/>
        <w:gridCol w:w="1463"/>
        <w:gridCol w:w="1463"/>
      </w:tblGrid>
      <w:tr w:rsidTr="007F63E5">
        <w:tblPrEx>
          <w:tblW w:w="0" w:type="auto"/>
          <w:tblInd w:w="360" w:type="dxa"/>
          <w:tblCellMar>
            <w:left w:w="0" w:type="dxa"/>
            <w:right w:w="0" w:type="dxa"/>
          </w:tblCellMar>
          <w:tblLook w:val="04A0"/>
        </w:tblPrEx>
        <w:tc>
          <w:tcPr>
            <w:tcW w:w="5069" w:type="dxa"/>
          </w:tcPr>
          <w:p w:rsidR="0048389E" w:rsidP="007F63E5">
            <w:pPr>
              <w:rPr>
                <w:rFonts w:ascii="Arial" w:eastAsia="Arial" w:hAnsi="Arial" w:cs="Arial"/>
              </w:rPr>
            </w:pPr>
            <w:r>
              <w:rPr>
                <w:rFonts w:ascii="Arial" w:eastAsia="Arial" w:hAnsi="Arial" w:cs="Arial"/>
                <w:b/>
              </w:rPr>
              <w:t>OTHER SPECIAL REVENUE FUNDS</w:t>
            </w:r>
          </w:p>
        </w:tc>
        <w:tc>
          <w:tcPr>
            <w:tcW w:w="1469" w:type="dxa"/>
          </w:tcPr>
          <w:p w:rsidR="0048389E" w:rsidP="007F63E5">
            <w:pPr>
              <w:jc w:val="right"/>
              <w:rPr>
                <w:rFonts w:ascii="Arial" w:eastAsia="Arial" w:hAnsi="Arial" w:cs="Arial"/>
              </w:rPr>
            </w:pPr>
            <w:r>
              <w:rPr>
                <w:rFonts w:ascii="Arial" w:eastAsia="Arial" w:hAnsi="Arial" w:cs="Arial"/>
                <w:b/>
              </w:rPr>
              <w:t>2023-24</w:t>
            </w:r>
          </w:p>
        </w:tc>
        <w:tc>
          <w:tcPr>
            <w:tcW w:w="1469" w:type="dxa"/>
          </w:tcPr>
          <w:p w:rsidR="0048389E" w:rsidP="007F63E5">
            <w:pPr>
              <w:jc w:val="right"/>
              <w:rPr>
                <w:rFonts w:ascii="Arial" w:eastAsia="Arial" w:hAnsi="Arial" w:cs="Arial"/>
              </w:rPr>
            </w:pPr>
            <w:r>
              <w:rPr>
                <w:rFonts w:ascii="Arial" w:eastAsia="Arial" w:hAnsi="Arial" w:cs="Arial"/>
                <w:b/>
              </w:rPr>
              <w:t>2024-25</w:t>
            </w:r>
          </w:p>
        </w:tc>
      </w:tr>
      <w:tr w:rsidTr="007F63E5">
        <w:tblPrEx>
          <w:tblW w:w="0" w:type="auto"/>
          <w:tblInd w:w="360" w:type="dxa"/>
          <w:tblCellMar>
            <w:left w:w="0" w:type="dxa"/>
            <w:right w:w="0" w:type="dxa"/>
          </w:tblCellMar>
          <w:tblLook w:val="04A0"/>
        </w:tblPrEx>
        <w:tc>
          <w:tcPr>
            <w:tcW w:w="5069" w:type="dxa"/>
          </w:tcPr>
          <w:p w:rsidR="0048389E" w:rsidP="007F63E5">
            <w:pPr>
              <w:ind w:left="180"/>
              <w:rPr>
                <w:rFonts w:ascii="Arial" w:eastAsia="Arial" w:hAnsi="Arial" w:cs="Arial"/>
              </w:rPr>
            </w:pPr>
            <w:r>
              <w:rPr>
                <w:rFonts w:ascii="Arial" w:eastAsia="Arial" w:hAnsi="Arial" w:cs="Arial"/>
              </w:rPr>
              <w:t>All Other</w:t>
            </w:r>
          </w:p>
        </w:tc>
        <w:tc>
          <w:tcPr>
            <w:tcW w:w="1469" w:type="dxa"/>
          </w:tcPr>
          <w:p w:rsidR="0048389E" w:rsidP="007F63E5">
            <w:pPr>
              <w:jc w:val="right"/>
              <w:rPr>
                <w:rFonts w:ascii="Arial" w:eastAsia="Arial" w:hAnsi="Arial" w:cs="Arial"/>
              </w:rPr>
            </w:pPr>
            <w:r>
              <w:rPr>
                <w:rFonts w:ascii="Arial" w:eastAsia="Arial" w:hAnsi="Arial" w:cs="Arial"/>
              </w:rPr>
              <w:t>$110,210</w:t>
            </w:r>
          </w:p>
        </w:tc>
        <w:tc>
          <w:tcPr>
            <w:tcW w:w="1469" w:type="dxa"/>
          </w:tcPr>
          <w:p w:rsidR="0048389E" w:rsidP="007F63E5">
            <w:pPr>
              <w:jc w:val="right"/>
              <w:rPr>
                <w:rFonts w:ascii="Arial" w:eastAsia="Arial" w:hAnsi="Arial" w:cs="Arial"/>
              </w:rPr>
            </w:pPr>
            <w:r>
              <w:rPr>
                <w:rFonts w:ascii="Arial" w:eastAsia="Arial" w:hAnsi="Arial" w:cs="Arial"/>
              </w:rPr>
              <w:t>$0</w:t>
            </w:r>
          </w:p>
        </w:tc>
      </w:tr>
      <w:tr w:rsidTr="007F63E5">
        <w:tblPrEx>
          <w:tblW w:w="0" w:type="auto"/>
          <w:tblInd w:w="360" w:type="dxa"/>
          <w:tblCellMar>
            <w:left w:w="0" w:type="dxa"/>
            <w:right w:w="0" w:type="dxa"/>
          </w:tblCellMar>
          <w:tblLook w:val="04A0"/>
        </w:tblPrEx>
        <w:tc>
          <w:tcPr>
            <w:tcW w:w="5069" w:type="dxa"/>
          </w:tcPr>
          <w:p w:rsidR="0048389E" w:rsidP="007F63E5">
            <w:pPr>
              <w:rPr>
                <w:rFonts w:ascii="Arial" w:eastAsia="Arial" w:hAnsi="Arial" w:cs="Arial"/>
              </w:rPr>
            </w:pPr>
            <w:r>
              <w:rPr>
                <w:rFonts w:ascii="Arial" w:eastAsia="Arial" w:hAnsi="Arial" w:cs="Arial"/>
              </w:rPr>
              <w:t xml:space="preserve"> </w:t>
            </w:r>
          </w:p>
        </w:tc>
        <w:tc>
          <w:tcPr>
            <w:tcW w:w="1469" w:type="dxa"/>
          </w:tcPr>
          <w:p w:rsidR="0048389E" w:rsidP="007F63E5">
            <w:pPr>
              <w:jc w:val="right"/>
              <w:rPr>
                <w:rFonts w:ascii="Arial" w:eastAsia="Arial" w:hAnsi="Arial" w:cs="Arial"/>
              </w:rPr>
            </w:pPr>
            <w:r>
              <w:rPr>
                <w:rFonts w:ascii="Arial" w:eastAsia="Arial" w:hAnsi="Arial" w:cs="Arial"/>
              </w:rPr>
              <w:t>__________</w:t>
            </w:r>
          </w:p>
        </w:tc>
        <w:tc>
          <w:tcPr>
            <w:tcW w:w="1469" w:type="dxa"/>
          </w:tcPr>
          <w:p w:rsidR="0048389E" w:rsidP="007F63E5">
            <w:pPr>
              <w:jc w:val="right"/>
              <w:rPr>
                <w:rFonts w:ascii="Arial" w:eastAsia="Arial" w:hAnsi="Arial" w:cs="Arial"/>
              </w:rPr>
            </w:pPr>
            <w:r>
              <w:rPr>
                <w:rFonts w:ascii="Arial" w:eastAsia="Arial" w:hAnsi="Arial" w:cs="Arial"/>
              </w:rPr>
              <w:t>__________</w:t>
            </w:r>
          </w:p>
        </w:tc>
      </w:tr>
      <w:tr w:rsidTr="007F63E5">
        <w:tblPrEx>
          <w:tblW w:w="0" w:type="auto"/>
          <w:tblInd w:w="360" w:type="dxa"/>
          <w:tblCellMar>
            <w:left w:w="0" w:type="dxa"/>
            <w:right w:w="0" w:type="dxa"/>
          </w:tblCellMar>
          <w:tblLook w:val="04A0"/>
        </w:tblPrEx>
        <w:tc>
          <w:tcPr>
            <w:tcW w:w="5069" w:type="dxa"/>
          </w:tcPr>
          <w:p w:rsidR="0048389E" w:rsidP="007F63E5">
            <w:pPr>
              <w:rPr>
                <w:rFonts w:ascii="Arial" w:eastAsia="Arial" w:hAnsi="Arial" w:cs="Arial"/>
              </w:rPr>
            </w:pPr>
            <w:r>
              <w:rPr>
                <w:rFonts w:ascii="Arial" w:eastAsia="Arial" w:hAnsi="Arial" w:cs="Arial"/>
              </w:rPr>
              <w:t>OTHER SPECIAL REVENUE FUNDS TOTAL</w:t>
            </w:r>
          </w:p>
        </w:tc>
        <w:tc>
          <w:tcPr>
            <w:tcW w:w="1469" w:type="dxa"/>
          </w:tcPr>
          <w:p w:rsidR="0048389E" w:rsidP="007F63E5">
            <w:pPr>
              <w:jc w:val="right"/>
              <w:rPr>
                <w:rFonts w:ascii="Arial" w:eastAsia="Arial" w:hAnsi="Arial" w:cs="Arial"/>
              </w:rPr>
            </w:pPr>
            <w:r>
              <w:rPr>
                <w:rFonts w:ascii="Arial" w:eastAsia="Arial" w:hAnsi="Arial" w:cs="Arial"/>
              </w:rPr>
              <w:t>$110,210</w:t>
            </w:r>
          </w:p>
        </w:tc>
        <w:tc>
          <w:tcPr>
            <w:tcW w:w="1469" w:type="dxa"/>
          </w:tcPr>
          <w:p w:rsidR="0048389E" w:rsidP="007F63E5">
            <w:pPr>
              <w:jc w:val="right"/>
              <w:rPr>
                <w:rFonts w:ascii="Arial" w:eastAsia="Arial" w:hAnsi="Arial" w:cs="Arial"/>
              </w:rPr>
            </w:pPr>
            <w:r>
              <w:rPr>
                <w:rFonts w:ascii="Arial" w:eastAsia="Arial" w:hAnsi="Arial" w:cs="Arial"/>
              </w:rPr>
              <w:t>$0</w:t>
            </w:r>
          </w:p>
        </w:tc>
      </w:tr>
    </w:tbl>
    <w:p w:rsidR="0048389E" w:rsidP="0048389E">
      <w:pPr>
        <w:pStyle w:val="BPSParagraphLeftAlign"/>
        <w:suppressAutoHyphens/>
        <w:ind w:left="360"/>
        <w:rPr>
          <w:rFonts w:ascii="Arial" w:eastAsia="Arial" w:hAnsi="Arial" w:cs="Arial"/>
        </w:rPr>
      </w:pPr>
      <w:r>
        <w:rPr>
          <w:rFonts w:ascii="Arial" w:eastAsia="Arial" w:hAnsi="Arial" w:cs="Arial"/>
          <w:b/>
        </w:rPr>
        <w:t>PUC - Interconnection Ombudsman Fund  N467</w:t>
      </w:r>
    </w:p>
    <w:p w:rsidR="0048389E" w:rsidP="0048389E">
      <w:pPr>
        <w:ind w:left="360"/>
        <w:rPr>
          <w:rFonts w:ascii="Arial" w:eastAsia="Arial" w:hAnsi="Arial" w:cs="Arial"/>
        </w:rPr>
      </w:pPr>
      <w:r>
        <w:rPr>
          <w:rFonts w:ascii="Arial" w:eastAsia="Arial" w:hAnsi="Arial" w:cs="Arial"/>
        </w:rPr>
        <w:t>Initiative: Provides allocations to establish one Utility Analyst position to serve as the Interconnection Ombudsman and associated All Other costs.</w:t>
      </w:r>
    </w:p>
    <w:tbl>
      <w:tblPr>
        <w:tblStyle w:val="BPSTable"/>
        <w:tblW w:w="0" w:type="auto"/>
        <w:tblInd w:w="360" w:type="dxa"/>
        <w:tblCellMar>
          <w:left w:w="0" w:type="dxa"/>
          <w:right w:w="0" w:type="dxa"/>
        </w:tblCellMar>
        <w:tblLook w:val="04A0"/>
      </w:tblPr>
      <w:tblGrid>
        <w:gridCol w:w="5009"/>
        <w:gridCol w:w="1463"/>
        <w:gridCol w:w="1463"/>
      </w:tblGrid>
      <w:tr w:rsidTr="007F63E5">
        <w:tblPrEx>
          <w:tblW w:w="0" w:type="auto"/>
          <w:tblInd w:w="360" w:type="dxa"/>
          <w:tblCellMar>
            <w:left w:w="0" w:type="dxa"/>
            <w:right w:w="0" w:type="dxa"/>
          </w:tblCellMar>
          <w:tblLook w:val="04A0"/>
        </w:tblPrEx>
        <w:tc>
          <w:tcPr>
            <w:tcW w:w="5069" w:type="dxa"/>
          </w:tcPr>
          <w:p w:rsidR="0048389E" w:rsidP="007F63E5">
            <w:pPr>
              <w:rPr>
                <w:rFonts w:ascii="Arial" w:eastAsia="Arial" w:hAnsi="Arial" w:cs="Arial"/>
              </w:rPr>
            </w:pPr>
            <w:r>
              <w:rPr>
                <w:rFonts w:ascii="Arial" w:eastAsia="Arial" w:hAnsi="Arial" w:cs="Arial"/>
                <w:b/>
              </w:rPr>
              <w:t>OTHER SPECIAL REVENUE FUNDS</w:t>
            </w:r>
          </w:p>
        </w:tc>
        <w:tc>
          <w:tcPr>
            <w:tcW w:w="1469" w:type="dxa"/>
          </w:tcPr>
          <w:p w:rsidR="0048389E" w:rsidP="007F63E5">
            <w:pPr>
              <w:jc w:val="right"/>
              <w:rPr>
                <w:rFonts w:ascii="Arial" w:eastAsia="Arial" w:hAnsi="Arial" w:cs="Arial"/>
              </w:rPr>
            </w:pPr>
            <w:r>
              <w:rPr>
                <w:rFonts w:ascii="Arial" w:eastAsia="Arial" w:hAnsi="Arial" w:cs="Arial"/>
                <w:b/>
              </w:rPr>
              <w:t>2023-24</w:t>
            </w:r>
          </w:p>
        </w:tc>
        <w:tc>
          <w:tcPr>
            <w:tcW w:w="1469" w:type="dxa"/>
          </w:tcPr>
          <w:p w:rsidR="0048389E" w:rsidP="007F63E5">
            <w:pPr>
              <w:jc w:val="right"/>
              <w:rPr>
                <w:rFonts w:ascii="Arial" w:eastAsia="Arial" w:hAnsi="Arial" w:cs="Arial"/>
              </w:rPr>
            </w:pPr>
            <w:r>
              <w:rPr>
                <w:rFonts w:ascii="Arial" w:eastAsia="Arial" w:hAnsi="Arial" w:cs="Arial"/>
                <w:b/>
              </w:rPr>
              <w:t>2024-25</w:t>
            </w:r>
          </w:p>
        </w:tc>
      </w:tr>
      <w:tr w:rsidTr="007F63E5">
        <w:tblPrEx>
          <w:tblW w:w="0" w:type="auto"/>
          <w:tblInd w:w="360" w:type="dxa"/>
          <w:tblCellMar>
            <w:left w:w="0" w:type="dxa"/>
            <w:right w:w="0" w:type="dxa"/>
          </w:tblCellMar>
          <w:tblLook w:val="04A0"/>
        </w:tblPrEx>
        <w:tc>
          <w:tcPr>
            <w:tcW w:w="5069" w:type="dxa"/>
          </w:tcPr>
          <w:p w:rsidR="0048389E" w:rsidP="007F63E5">
            <w:pPr>
              <w:ind w:left="180"/>
              <w:rPr>
                <w:rFonts w:ascii="Arial" w:eastAsia="Arial" w:hAnsi="Arial" w:cs="Arial"/>
              </w:rPr>
            </w:pPr>
            <w:r>
              <w:rPr>
                <w:rFonts w:ascii="Arial" w:eastAsia="Arial" w:hAnsi="Arial" w:cs="Arial"/>
              </w:rPr>
              <w:t>POSITIONS - LEGISLATIVE COUNT</w:t>
            </w:r>
          </w:p>
        </w:tc>
        <w:tc>
          <w:tcPr>
            <w:tcW w:w="1469" w:type="dxa"/>
          </w:tcPr>
          <w:p w:rsidR="0048389E" w:rsidP="007F63E5">
            <w:pPr>
              <w:jc w:val="right"/>
              <w:rPr>
                <w:rFonts w:ascii="Arial" w:eastAsia="Arial" w:hAnsi="Arial" w:cs="Arial"/>
              </w:rPr>
            </w:pPr>
            <w:r>
              <w:rPr>
                <w:rFonts w:ascii="Arial" w:eastAsia="Arial" w:hAnsi="Arial" w:cs="Arial"/>
              </w:rPr>
              <w:t>1.000</w:t>
            </w:r>
          </w:p>
        </w:tc>
        <w:tc>
          <w:tcPr>
            <w:tcW w:w="1469" w:type="dxa"/>
          </w:tcPr>
          <w:p w:rsidR="0048389E" w:rsidP="007F63E5">
            <w:pPr>
              <w:jc w:val="right"/>
              <w:rPr>
                <w:rFonts w:ascii="Arial" w:eastAsia="Arial" w:hAnsi="Arial" w:cs="Arial"/>
              </w:rPr>
            </w:pPr>
            <w:r>
              <w:rPr>
                <w:rFonts w:ascii="Arial" w:eastAsia="Arial" w:hAnsi="Arial" w:cs="Arial"/>
              </w:rPr>
              <w:t>1.000</w:t>
            </w:r>
          </w:p>
        </w:tc>
      </w:tr>
      <w:tr w:rsidTr="007F63E5">
        <w:tblPrEx>
          <w:tblW w:w="0" w:type="auto"/>
          <w:tblInd w:w="360" w:type="dxa"/>
          <w:tblCellMar>
            <w:left w:w="0" w:type="dxa"/>
            <w:right w:w="0" w:type="dxa"/>
          </w:tblCellMar>
          <w:tblLook w:val="04A0"/>
        </w:tblPrEx>
        <w:tc>
          <w:tcPr>
            <w:tcW w:w="5069" w:type="dxa"/>
          </w:tcPr>
          <w:p w:rsidR="0048389E" w:rsidP="007F63E5">
            <w:pPr>
              <w:ind w:left="180"/>
              <w:rPr>
                <w:rFonts w:ascii="Arial" w:eastAsia="Arial" w:hAnsi="Arial" w:cs="Arial"/>
              </w:rPr>
            </w:pPr>
            <w:r>
              <w:rPr>
                <w:rFonts w:ascii="Arial" w:eastAsia="Arial" w:hAnsi="Arial" w:cs="Arial"/>
              </w:rPr>
              <w:t>Personal Services</w:t>
            </w:r>
          </w:p>
        </w:tc>
        <w:tc>
          <w:tcPr>
            <w:tcW w:w="1469" w:type="dxa"/>
          </w:tcPr>
          <w:p w:rsidR="0048389E" w:rsidP="007F63E5">
            <w:pPr>
              <w:jc w:val="right"/>
              <w:rPr>
                <w:rFonts w:ascii="Arial" w:eastAsia="Arial" w:hAnsi="Arial" w:cs="Arial"/>
              </w:rPr>
            </w:pPr>
            <w:r>
              <w:rPr>
                <w:rFonts w:ascii="Arial" w:eastAsia="Arial" w:hAnsi="Arial" w:cs="Arial"/>
              </w:rPr>
              <w:t>$118,414</w:t>
            </w:r>
          </w:p>
        </w:tc>
        <w:tc>
          <w:tcPr>
            <w:tcW w:w="1469" w:type="dxa"/>
          </w:tcPr>
          <w:p w:rsidR="0048389E" w:rsidP="007F63E5">
            <w:pPr>
              <w:jc w:val="right"/>
              <w:rPr>
                <w:rFonts w:ascii="Arial" w:eastAsia="Arial" w:hAnsi="Arial" w:cs="Arial"/>
              </w:rPr>
            </w:pPr>
            <w:r>
              <w:rPr>
                <w:rFonts w:ascii="Arial" w:eastAsia="Arial" w:hAnsi="Arial" w:cs="Arial"/>
              </w:rPr>
              <w:t>$122,203</w:t>
            </w:r>
          </w:p>
        </w:tc>
      </w:tr>
      <w:tr w:rsidTr="007F63E5">
        <w:tblPrEx>
          <w:tblW w:w="0" w:type="auto"/>
          <w:tblInd w:w="360" w:type="dxa"/>
          <w:tblCellMar>
            <w:left w:w="0" w:type="dxa"/>
            <w:right w:w="0" w:type="dxa"/>
          </w:tblCellMar>
          <w:tblLook w:val="04A0"/>
        </w:tblPrEx>
        <w:tc>
          <w:tcPr>
            <w:tcW w:w="5069" w:type="dxa"/>
          </w:tcPr>
          <w:p w:rsidR="0048389E" w:rsidP="007F63E5">
            <w:pPr>
              <w:ind w:left="180"/>
              <w:rPr>
                <w:rFonts w:ascii="Arial" w:eastAsia="Arial" w:hAnsi="Arial" w:cs="Arial"/>
              </w:rPr>
            </w:pPr>
            <w:r>
              <w:rPr>
                <w:rFonts w:ascii="Arial" w:eastAsia="Arial" w:hAnsi="Arial" w:cs="Arial"/>
              </w:rPr>
              <w:t>All Other</w:t>
            </w:r>
          </w:p>
        </w:tc>
        <w:tc>
          <w:tcPr>
            <w:tcW w:w="1469" w:type="dxa"/>
          </w:tcPr>
          <w:p w:rsidR="0048389E" w:rsidP="007F63E5">
            <w:pPr>
              <w:jc w:val="right"/>
              <w:rPr>
                <w:rFonts w:ascii="Arial" w:eastAsia="Arial" w:hAnsi="Arial" w:cs="Arial"/>
              </w:rPr>
            </w:pPr>
            <w:r>
              <w:rPr>
                <w:rFonts w:ascii="Arial" w:eastAsia="Arial" w:hAnsi="Arial" w:cs="Arial"/>
              </w:rPr>
              <w:t>$15,391</w:t>
            </w:r>
          </w:p>
        </w:tc>
        <w:tc>
          <w:tcPr>
            <w:tcW w:w="1469" w:type="dxa"/>
          </w:tcPr>
          <w:p w:rsidR="0048389E" w:rsidP="007F63E5">
            <w:pPr>
              <w:jc w:val="right"/>
              <w:rPr>
                <w:rFonts w:ascii="Arial" w:eastAsia="Arial" w:hAnsi="Arial" w:cs="Arial"/>
              </w:rPr>
            </w:pPr>
            <w:r>
              <w:rPr>
                <w:rFonts w:ascii="Arial" w:eastAsia="Arial" w:hAnsi="Arial" w:cs="Arial"/>
              </w:rPr>
              <w:t>$15,391</w:t>
            </w:r>
          </w:p>
        </w:tc>
      </w:tr>
      <w:tr w:rsidTr="007F63E5">
        <w:tblPrEx>
          <w:tblW w:w="0" w:type="auto"/>
          <w:tblInd w:w="360" w:type="dxa"/>
          <w:tblCellMar>
            <w:left w:w="0" w:type="dxa"/>
            <w:right w:w="0" w:type="dxa"/>
          </w:tblCellMar>
          <w:tblLook w:val="04A0"/>
        </w:tblPrEx>
        <w:tc>
          <w:tcPr>
            <w:tcW w:w="5069" w:type="dxa"/>
          </w:tcPr>
          <w:p w:rsidR="0048389E" w:rsidP="007F63E5">
            <w:pPr>
              <w:rPr>
                <w:rFonts w:ascii="Arial" w:eastAsia="Arial" w:hAnsi="Arial" w:cs="Arial"/>
              </w:rPr>
            </w:pPr>
            <w:r>
              <w:rPr>
                <w:rFonts w:ascii="Arial" w:eastAsia="Arial" w:hAnsi="Arial" w:cs="Arial"/>
              </w:rPr>
              <w:t xml:space="preserve"> </w:t>
            </w:r>
          </w:p>
        </w:tc>
        <w:tc>
          <w:tcPr>
            <w:tcW w:w="1469" w:type="dxa"/>
          </w:tcPr>
          <w:p w:rsidR="0048389E" w:rsidP="007F63E5">
            <w:pPr>
              <w:jc w:val="right"/>
              <w:rPr>
                <w:rFonts w:ascii="Arial" w:eastAsia="Arial" w:hAnsi="Arial" w:cs="Arial"/>
              </w:rPr>
            </w:pPr>
            <w:r>
              <w:rPr>
                <w:rFonts w:ascii="Arial" w:eastAsia="Arial" w:hAnsi="Arial" w:cs="Arial"/>
              </w:rPr>
              <w:t>__________</w:t>
            </w:r>
          </w:p>
        </w:tc>
        <w:tc>
          <w:tcPr>
            <w:tcW w:w="1469" w:type="dxa"/>
          </w:tcPr>
          <w:p w:rsidR="0048389E" w:rsidP="007F63E5">
            <w:pPr>
              <w:jc w:val="right"/>
              <w:rPr>
                <w:rFonts w:ascii="Arial" w:eastAsia="Arial" w:hAnsi="Arial" w:cs="Arial"/>
              </w:rPr>
            </w:pPr>
            <w:r>
              <w:rPr>
                <w:rFonts w:ascii="Arial" w:eastAsia="Arial" w:hAnsi="Arial" w:cs="Arial"/>
              </w:rPr>
              <w:t>__________</w:t>
            </w:r>
          </w:p>
        </w:tc>
      </w:tr>
      <w:tr w:rsidTr="007F63E5">
        <w:tblPrEx>
          <w:tblW w:w="0" w:type="auto"/>
          <w:tblInd w:w="360" w:type="dxa"/>
          <w:tblCellMar>
            <w:left w:w="0" w:type="dxa"/>
            <w:right w:w="0" w:type="dxa"/>
          </w:tblCellMar>
          <w:tblLook w:val="04A0"/>
        </w:tblPrEx>
        <w:tc>
          <w:tcPr>
            <w:tcW w:w="5069" w:type="dxa"/>
          </w:tcPr>
          <w:p w:rsidR="0048389E" w:rsidP="007F63E5">
            <w:pPr>
              <w:rPr>
                <w:rFonts w:ascii="Arial" w:eastAsia="Arial" w:hAnsi="Arial" w:cs="Arial"/>
              </w:rPr>
            </w:pPr>
            <w:r>
              <w:rPr>
                <w:rFonts w:ascii="Arial" w:eastAsia="Arial" w:hAnsi="Arial" w:cs="Arial"/>
              </w:rPr>
              <w:t>OTHER SPECIAL REVENUE FUNDS TOTAL</w:t>
            </w:r>
          </w:p>
        </w:tc>
        <w:tc>
          <w:tcPr>
            <w:tcW w:w="1469" w:type="dxa"/>
          </w:tcPr>
          <w:p w:rsidR="0048389E" w:rsidP="007F63E5">
            <w:pPr>
              <w:jc w:val="right"/>
              <w:rPr>
                <w:rFonts w:ascii="Arial" w:eastAsia="Arial" w:hAnsi="Arial" w:cs="Arial"/>
              </w:rPr>
            </w:pPr>
            <w:r>
              <w:rPr>
                <w:rFonts w:ascii="Arial" w:eastAsia="Arial" w:hAnsi="Arial" w:cs="Arial"/>
              </w:rPr>
              <w:t>$133,805</w:t>
            </w:r>
          </w:p>
        </w:tc>
        <w:tc>
          <w:tcPr>
            <w:tcW w:w="1469" w:type="dxa"/>
          </w:tcPr>
          <w:p w:rsidR="0048389E" w:rsidP="007F63E5">
            <w:pPr>
              <w:jc w:val="right"/>
              <w:rPr>
                <w:rFonts w:ascii="Arial" w:eastAsia="Arial" w:hAnsi="Arial" w:cs="Arial"/>
              </w:rPr>
            </w:pPr>
            <w:r>
              <w:rPr>
                <w:rFonts w:ascii="Arial" w:eastAsia="Arial" w:hAnsi="Arial" w:cs="Arial"/>
              </w:rPr>
              <w:t>$137,594</w:t>
            </w:r>
          </w:p>
        </w:tc>
      </w:tr>
    </w:tbl>
    <w:p w:rsidR="0048389E" w:rsidP="0048389E">
      <w:pPr>
        <w:pStyle w:val="BPSParagraphLeftAlign"/>
        <w:suppressAutoHyphens/>
        <w:ind w:left="360"/>
        <w:rPr>
          <w:rFonts w:ascii="Arial" w:eastAsia="Arial" w:hAnsi="Arial" w:cs="Arial"/>
        </w:rPr>
      </w:pPr>
      <w:r>
        <w:rPr>
          <w:rFonts w:ascii="Arial" w:eastAsia="Arial" w:hAnsi="Arial" w:cs="Arial"/>
          <w:b/>
        </w:rPr>
        <w:t>PUC - Interconnection Ombudsman Fund  N467</w:t>
      </w:r>
    </w:p>
    <w:p w:rsidR="0048389E" w:rsidP="0048389E">
      <w:pPr>
        <w:ind w:left="360"/>
        <w:rPr>
          <w:rFonts w:ascii="Arial" w:eastAsia="Arial" w:hAnsi="Arial" w:cs="Arial"/>
        </w:rPr>
      </w:pPr>
      <w:r>
        <w:rPr>
          <w:rFonts w:ascii="Arial" w:eastAsia="Arial" w:hAnsi="Arial" w:cs="Arial"/>
        </w:rPr>
        <w:t>Initiative: Provides allocations to establish the program and account.</w:t>
      </w:r>
    </w:p>
    <w:tbl>
      <w:tblPr>
        <w:tblStyle w:val="BPSTable"/>
        <w:tblW w:w="0" w:type="auto"/>
        <w:tblInd w:w="360" w:type="dxa"/>
        <w:tblCellMar>
          <w:left w:w="0" w:type="dxa"/>
          <w:right w:w="0" w:type="dxa"/>
        </w:tblCellMar>
        <w:tblLook w:val="04A0"/>
      </w:tblPr>
      <w:tblGrid>
        <w:gridCol w:w="5009"/>
        <w:gridCol w:w="1463"/>
        <w:gridCol w:w="1463"/>
      </w:tblGrid>
      <w:tr w:rsidTr="007F63E5">
        <w:tblPrEx>
          <w:tblW w:w="0" w:type="auto"/>
          <w:tblInd w:w="360" w:type="dxa"/>
          <w:tblCellMar>
            <w:left w:w="0" w:type="dxa"/>
            <w:right w:w="0" w:type="dxa"/>
          </w:tblCellMar>
          <w:tblLook w:val="04A0"/>
        </w:tblPrEx>
        <w:tc>
          <w:tcPr>
            <w:tcW w:w="5069" w:type="dxa"/>
          </w:tcPr>
          <w:p w:rsidR="0048389E" w:rsidP="007F63E5">
            <w:pPr>
              <w:rPr>
                <w:rFonts w:ascii="Arial" w:eastAsia="Arial" w:hAnsi="Arial" w:cs="Arial"/>
              </w:rPr>
            </w:pPr>
            <w:r>
              <w:rPr>
                <w:rFonts w:ascii="Arial" w:eastAsia="Arial" w:hAnsi="Arial" w:cs="Arial"/>
                <w:b/>
              </w:rPr>
              <w:t>OTHER SPECIAL REVENUE FUNDS</w:t>
            </w:r>
          </w:p>
        </w:tc>
        <w:tc>
          <w:tcPr>
            <w:tcW w:w="1469" w:type="dxa"/>
          </w:tcPr>
          <w:p w:rsidR="0048389E" w:rsidP="007F63E5">
            <w:pPr>
              <w:jc w:val="right"/>
              <w:rPr>
                <w:rFonts w:ascii="Arial" w:eastAsia="Arial" w:hAnsi="Arial" w:cs="Arial"/>
              </w:rPr>
            </w:pPr>
            <w:r>
              <w:rPr>
                <w:rFonts w:ascii="Arial" w:eastAsia="Arial" w:hAnsi="Arial" w:cs="Arial"/>
                <w:b/>
              </w:rPr>
              <w:t>2023-24</w:t>
            </w:r>
          </w:p>
        </w:tc>
        <w:tc>
          <w:tcPr>
            <w:tcW w:w="1469" w:type="dxa"/>
          </w:tcPr>
          <w:p w:rsidR="0048389E" w:rsidP="007F63E5">
            <w:pPr>
              <w:jc w:val="right"/>
              <w:rPr>
                <w:rFonts w:ascii="Arial" w:eastAsia="Arial" w:hAnsi="Arial" w:cs="Arial"/>
              </w:rPr>
            </w:pPr>
            <w:r>
              <w:rPr>
                <w:rFonts w:ascii="Arial" w:eastAsia="Arial" w:hAnsi="Arial" w:cs="Arial"/>
                <w:b/>
              </w:rPr>
              <w:t>2024-25</w:t>
            </w:r>
          </w:p>
        </w:tc>
      </w:tr>
      <w:tr w:rsidTr="007F63E5">
        <w:tblPrEx>
          <w:tblW w:w="0" w:type="auto"/>
          <w:tblInd w:w="360" w:type="dxa"/>
          <w:tblCellMar>
            <w:left w:w="0" w:type="dxa"/>
            <w:right w:w="0" w:type="dxa"/>
          </w:tblCellMar>
          <w:tblLook w:val="04A0"/>
        </w:tblPrEx>
        <w:tc>
          <w:tcPr>
            <w:tcW w:w="5069" w:type="dxa"/>
          </w:tcPr>
          <w:p w:rsidR="0048389E" w:rsidP="007F63E5">
            <w:pPr>
              <w:ind w:left="180"/>
              <w:rPr>
                <w:rFonts w:ascii="Arial" w:eastAsia="Arial" w:hAnsi="Arial" w:cs="Arial"/>
              </w:rPr>
            </w:pPr>
            <w:r>
              <w:rPr>
                <w:rFonts w:ascii="Arial" w:eastAsia="Arial" w:hAnsi="Arial" w:cs="Arial"/>
              </w:rPr>
              <w:t>All Other</w:t>
            </w:r>
          </w:p>
        </w:tc>
        <w:tc>
          <w:tcPr>
            <w:tcW w:w="1469" w:type="dxa"/>
          </w:tcPr>
          <w:p w:rsidR="0048389E" w:rsidP="007F63E5">
            <w:pPr>
              <w:jc w:val="right"/>
              <w:rPr>
                <w:rFonts w:ascii="Arial" w:eastAsia="Arial" w:hAnsi="Arial" w:cs="Arial"/>
              </w:rPr>
            </w:pPr>
            <w:r>
              <w:rPr>
                <w:rFonts w:ascii="Arial" w:eastAsia="Arial" w:hAnsi="Arial" w:cs="Arial"/>
              </w:rPr>
              <w:t>$500</w:t>
            </w:r>
          </w:p>
        </w:tc>
        <w:tc>
          <w:tcPr>
            <w:tcW w:w="1469" w:type="dxa"/>
          </w:tcPr>
          <w:p w:rsidR="0048389E" w:rsidP="007F63E5">
            <w:pPr>
              <w:jc w:val="right"/>
              <w:rPr>
                <w:rFonts w:ascii="Arial" w:eastAsia="Arial" w:hAnsi="Arial" w:cs="Arial"/>
              </w:rPr>
            </w:pPr>
            <w:r>
              <w:rPr>
                <w:rFonts w:ascii="Arial" w:eastAsia="Arial" w:hAnsi="Arial" w:cs="Arial"/>
              </w:rPr>
              <w:t>$500</w:t>
            </w:r>
          </w:p>
        </w:tc>
      </w:tr>
      <w:tr w:rsidTr="007F63E5">
        <w:tblPrEx>
          <w:tblW w:w="0" w:type="auto"/>
          <w:tblInd w:w="360" w:type="dxa"/>
          <w:tblCellMar>
            <w:left w:w="0" w:type="dxa"/>
            <w:right w:w="0" w:type="dxa"/>
          </w:tblCellMar>
          <w:tblLook w:val="04A0"/>
        </w:tblPrEx>
        <w:tc>
          <w:tcPr>
            <w:tcW w:w="5069" w:type="dxa"/>
          </w:tcPr>
          <w:p w:rsidR="0048389E" w:rsidP="007F63E5">
            <w:pPr>
              <w:rPr>
                <w:rFonts w:ascii="Arial" w:eastAsia="Arial" w:hAnsi="Arial" w:cs="Arial"/>
              </w:rPr>
            </w:pPr>
            <w:r>
              <w:rPr>
                <w:rFonts w:ascii="Arial" w:eastAsia="Arial" w:hAnsi="Arial" w:cs="Arial"/>
              </w:rPr>
              <w:t xml:space="preserve"> </w:t>
            </w:r>
          </w:p>
        </w:tc>
        <w:tc>
          <w:tcPr>
            <w:tcW w:w="1469" w:type="dxa"/>
          </w:tcPr>
          <w:p w:rsidR="0048389E" w:rsidP="007F63E5">
            <w:pPr>
              <w:jc w:val="right"/>
              <w:rPr>
                <w:rFonts w:ascii="Arial" w:eastAsia="Arial" w:hAnsi="Arial" w:cs="Arial"/>
              </w:rPr>
            </w:pPr>
            <w:r>
              <w:rPr>
                <w:rFonts w:ascii="Arial" w:eastAsia="Arial" w:hAnsi="Arial" w:cs="Arial"/>
              </w:rPr>
              <w:t>__________</w:t>
            </w:r>
          </w:p>
        </w:tc>
        <w:tc>
          <w:tcPr>
            <w:tcW w:w="1469" w:type="dxa"/>
          </w:tcPr>
          <w:p w:rsidR="0048389E" w:rsidP="007F63E5">
            <w:pPr>
              <w:jc w:val="right"/>
              <w:rPr>
                <w:rFonts w:ascii="Arial" w:eastAsia="Arial" w:hAnsi="Arial" w:cs="Arial"/>
              </w:rPr>
            </w:pPr>
            <w:r>
              <w:rPr>
                <w:rFonts w:ascii="Arial" w:eastAsia="Arial" w:hAnsi="Arial" w:cs="Arial"/>
              </w:rPr>
              <w:t>__________</w:t>
            </w:r>
          </w:p>
        </w:tc>
      </w:tr>
      <w:tr w:rsidTr="007F63E5">
        <w:tblPrEx>
          <w:tblW w:w="0" w:type="auto"/>
          <w:tblInd w:w="360" w:type="dxa"/>
          <w:tblCellMar>
            <w:left w:w="0" w:type="dxa"/>
            <w:right w:w="0" w:type="dxa"/>
          </w:tblCellMar>
          <w:tblLook w:val="04A0"/>
        </w:tblPrEx>
        <w:tc>
          <w:tcPr>
            <w:tcW w:w="5069" w:type="dxa"/>
          </w:tcPr>
          <w:p w:rsidR="0048389E" w:rsidP="007F63E5">
            <w:pPr>
              <w:rPr>
                <w:rFonts w:ascii="Arial" w:eastAsia="Arial" w:hAnsi="Arial" w:cs="Arial"/>
              </w:rPr>
            </w:pPr>
            <w:r>
              <w:rPr>
                <w:rFonts w:ascii="Arial" w:eastAsia="Arial" w:hAnsi="Arial" w:cs="Arial"/>
              </w:rPr>
              <w:t>OTHER SPECIAL REVENUE FUNDS TOTAL</w:t>
            </w:r>
          </w:p>
        </w:tc>
        <w:tc>
          <w:tcPr>
            <w:tcW w:w="1469" w:type="dxa"/>
          </w:tcPr>
          <w:p w:rsidR="0048389E" w:rsidP="007F63E5">
            <w:pPr>
              <w:jc w:val="right"/>
              <w:rPr>
                <w:rFonts w:ascii="Arial" w:eastAsia="Arial" w:hAnsi="Arial" w:cs="Arial"/>
              </w:rPr>
            </w:pPr>
            <w:r>
              <w:rPr>
                <w:rFonts w:ascii="Arial" w:eastAsia="Arial" w:hAnsi="Arial" w:cs="Arial"/>
              </w:rPr>
              <w:t>$500</w:t>
            </w:r>
          </w:p>
        </w:tc>
        <w:tc>
          <w:tcPr>
            <w:tcW w:w="1469" w:type="dxa"/>
          </w:tcPr>
          <w:p w:rsidR="0048389E" w:rsidP="007F63E5">
            <w:pPr>
              <w:jc w:val="right"/>
              <w:rPr>
                <w:rFonts w:ascii="Arial" w:eastAsia="Arial" w:hAnsi="Arial" w:cs="Arial"/>
              </w:rPr>
            </w:pPr>
            <w:r>
              <w:rPr>
                <w:rFonts w:ascii="Arial" w:eastAsia="Arial" w:hAnsi="Arial" w:cs="Arial"/>
              </w:rPr>
              <w:t>$500</w:t>
            </w:r>
          </w:p>
        </w:tc>
      </w:tr>
    </w:tbl>
    <w:p w:rsidR="0048389E" w:rsidP="0048389E">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7F63E5">
        <w:tblPrEx>
          <w:tblW w:w="0" w:type="auto"/>
          <w:tblInd w:w="360" w:type="dxa"/>
          <w:tblCellMar>
            <w:left w:w="0" w:type="dxa"/>
            <w:right w:w="0" w:type="dxa"/>
          </w:tblCellMar>
          <w:tblLook w:val="04A0"/>
        </w:tblPrEx>
        <w:tc>
          <w:tcPr>
            <w:tcW w:w="5069" w:type="dxa"/>
          </w:tcPr>
          <w:p w:rsidR="0048389E" w:rsidP="007F63E5">
            <w:pPr>
              <w:rPr>
                <w:rFonts w:ascii="Arial" w:eastAsia="Arial" w:hAnsi="Arial" w:cs="Arial"/>
              </w:rPr>
            </w:pPr>
            <w:r>
              <w:rPr>
                <w:rFonts w:ascii="Arial" w:eastAsia="Arial" w:hAnsi="Arial" w:cs="Arial"/>
                <w:b/>
              </w:rPr>
              <w:t>PUBLIC UTILITIES COMMISSION</w:t>
            </w:r>
          </w:p>
        </w:tc>
        <w:tc>
          <w:tcPr>
            <w:tcW w:w="1469" w:type="dxa"/>
          </w:tcPr>
          <w:p w:rsidR="0048389E" w:rsidP="007F63E5">
            <w:pPr>
              <w:rPr>
                <w:rFonts w:ascii="Arial" w:eastAsia="Arial" w:hAnsi="Arial" w:cs="Arial"/>
              </w:rPr>
            </w:pPr>
            <w:r>
              <w:rPr>
                <w:rFonts w:ascii="Arial" w:eastAsia="Arial" w:hAnsi="Arial" w:cs="Arial"/>
              </w:rPr>
              <w:t xml:space="preserve"> </w:t>
            </w:r>
          </w:p>
        </w:tc>
        <w:tc>
          <w:tcPr>
            <w:tcW w:w="1469" w:type="dxa"/>
          </w:tcPr>
          <w:p w:rsidR="0048389E" w:rsidP="007F63E5">
            <w:pPr>
              <w:rPr>
                <w:rFonts w:ascii="Arial" w:eastAsia="Arial" w:hAnsi="Arial" w:cs="Arial"/>
              </w:rPr>
            </w:pPr>
            <w:r>
              <w:rPr>
                <w:rFonts w:ascii="Arial" w:eastAsia="Arial" w:hAnsi="Arial" w:cs="Arial"/>
              </w:rPr>
              <w:t xml:space="preserve"> </w:t>
            </w:r>
          </w:p>
        </w:tc>
      </w:tr>
      <w:tr w:rsidTr="007F63E5">
        <w:tblPrEx>
          <w:tblW w:w="0" w:type="auto"/>
          <w:tblInd w:w="360" w:type="dxa"/>
          <w:tblCellMar>
            <w:left w:w="0" w:type="dxa"/>
            <w:right w:w="0" w:type="dxa"/>
          </w:tblCellMar>
          <w:tblLook w:val="04A0"/>
        </w:tblPrEx>
        <w:tc>
          <w:tcPr>
            <w:tcW w:w="5069" w:type="dxa"/>
          </w:tcPr>
          <w:p w:rsidR="0048389E" w:rsidP="007F63E5">
            <w:pPr>
              <w:rPr>
                <w:rFonts w:ascii="Arial" w:eastAsia="Arial" w:hAnsi="Arial" w:cs="Arial"/>
              </w:rPr>
            </w:pPr>
            <w:r>
              <w:rPr>
                <w:rFonts w:ascii="Arial" w:eastAsia="Arial" w:hAnsi="Arial" w:cs="Arial"/>
                <w:b/>
              </w:rPr>
              <w:t>DEPARTMENT TOTALS</w:t>
            </w:r>
          </w:p>
        </w:tc>
        <w:tc>
          <w:tcPr>
            <w:tcW w:w="1469" w:type="dxa"/>
          </w:tcPr>
          <w:p w:rsidR="0048389E" w:rsidP="007F63E5">
            <w:pPr>
              <w:jc w:val="right"/>
              <w:rPr>
                <w:rFonts w:ascii="Arial" w:eastAsia="Arial" w:hAnsi="Arial" w:cs="Arial"/>
              </w:rPr>
            </w:pPr>
            <w:r>
              <w:rPr>
                <w:rFonts w:ascii="Arial" w:eastAsia="Arial" w:hAnsi="Arial" w:cs="Arial"/>
                <w:b/>
              </w:rPr>
              <w:t>2023-24</w:t>
            </w:r>
          </w:p>
        </w:tc>
        <w:tc>
          <w:tcPr>
            <w:tcW w:w="1469" w:type="dxa"/>
          </w:tcPr>
          <w:p w:rsidR="0048389E" w:rsidP="007F63E5">
            <w:pPr>
              <w:jc w:val="right"/>
              <w:rPr>
                <w:rFonts w:ascii="Arial" w:eastAsia="Arial" w:hAnsi="Arial" w:cs="Arial"/>
              </w:rPr>
            </w:pPr>
            <w:r>
              <w:rPr>
                <w:rFonts w:ascii="Arial" w:eastAsia="Arial" w:hAnsi="Arial" w:cs="Arial"/>
                <w:b/>
              </w:rPr>
              <w:t>2024-25</w:t>
            </w:r>
          </w:p>
        </w:tc>
      </w:tr>
      <w:tr w:rsidTr="007F63E5">
        <w:tblPrEx>
          <w:tblW w:w="0" w:type="auto"/>
          <w:tblInd w:w="360" w:type="dxa"/>
          <w:tblCellMar>
            <w:left w:w="0" w:type="dxa"/>
            <w:right w:w="0" w:type="dxa"/>
          </w:tblCellMar>
          <w:tblLook w:val="04A0"/>
        </w:tblPrEx>
        <w:tc>
          <w:tcPr>
            <w:tcW w:w="5069" w:type="dxa"/>
          </w:tcPr>
          <w:p w:rsidR="0048389E" w:rsidP="007F63E5">
            <w:pPr>
              <w:rPr>
                <w:rFonts w:ascii="Arial" w:eastAsia="Arial" w:hAnsi="Arial" w:cs="Arial"/>
              </w:rPr>
            </w:pPr>
            <w:r>
              <w:rPr>
                <w:rFonts w:ascii="Arial" w:eastAsia="Arial" w:hAnsi="Arial" w:cs="Arial"/>
              </w:rPr>
              <w:t xml:space="preserve"> </w:t>
            </w:r>
          </w:p>
        </w:tc>
        <w:tc>
          <w:tcPr>
            <w:tcW w:w="1469" w:type="dxa"/>
          </w:tcPr>
          <w:p w:rsidR="0048389E" w:rsidP="007F63E5">
            <w:pPr>
              <w:rPr>
                <w:rFonts w:ascii="Arial" w:eastAsia="Arial" w:hAnsi="Arial" w:cs="Arial"/>
              </w:rPr>
            </w:pPr>
            <w:r>
              <w:rPr>
                <w:rFonts w:ascii="Arial" w:eastAsia="Arial" w:hAnsi="Arial" w:cs="Arial"/>
              </w:rPr>
              <w:t xml:space="preserve"> </w:t>
            </w:r>
          </w:p>
        </w:tc>
        <w:tc>
          <w:tcPr>
            <w:tcW w:w="1469" w:type="dxa"/>
          </w:tcPr>
          <w:p w:rsidR="0048389E" w:rsidP="007F63E5">
            <w:pPr>
              <w:rPr>
                <w:rFonts w:ascii="Arial" w:eastAsia="Arial" w:hAnsi="Arial" w:cs="Arial"/>
              </w:rPr>
            </w:pPr>
            <w:r>
              <w:rPr>
                <w:rFonts w:ascii="Arial" w:eastAsia="Arial" w:hAnsi="Arial" w:cs="Arial"/>
              </w:rPr>
              <w:t xml:space="preserve"> </w:t>
            </w:r>
          </w:p>
        </w:tc>
      </w:tr>
      <w:tr w:rsidTr="007F63E5">
        <w:tblPrEx>
          <w:tblW w:w="0" w:type="auto"/>
          <w:tblInd w:w="360" w:type="dxa"/>
          <w:tblCellMar>
            <w:left w:w="0" w:type="dxa"/>
            <w:right w:w="0" w:type="dxa"/>
          </w:tblCellMar>
          <w:tblLook w:val="04A0"/>
        </w:tblPrEx>
        <w:tc>
          <w:tcPr>
            <w:tcW w:w="5069" w:type="dxa"/>
          </w:tcPr>
          <w:p w:rsidR="0048389E" w:rsidP="007F63E5">
            <w:pPr>
              <w:ind w:left="180"/>
              <w:rPr>
                <w:rFonts w:ascii="Arial" w:eastAsia="Arial" w:hAnsi="Arial" w:cs="Arial"/>
              </w:rPr>
            </w:pPr>
            <w:r>
              <w:rPr>
                <w:rFonts w:ascii="Arial" w:eastAsia="Arial" w:hAnsi="Arial" w:cs="Arial"/>
                <w:b/>
              </w:rPr>
              <w:t>OTHER SPECIAL REVENUE FUNDS</w:t>
            </w:r>
          </w:p>
        </w:tc>
        <w:tc>
          <w:tcPr>
            <w:tcW w:w="1469" w:type="dxa"/>
          </w:tcPr>
          <w:p w:rsidR="0048389E" w:rsidP="007F63E5">
            <w:pPr>
              <w:jc w:val="right"/>
              <w:rPr>
                <w:rFonts w:ascii="Arial" w:eastAsia="Arial" w:hAnsi="Arial" w:cs="Arial"/>
              </w:rPr>
            </w:pPr>
            <w:r>
              <w:rPr>
                <w:rFonts w:ascii="Arial" w:eastAsia="Arial" w:hAnsi="Arial" w:cs="Arial"/>
                <w:b/>
              </w:rPr>
              <w:t>$244,515</w:t>
            </w:r>
          </w:p>
        </w:tc>
        <w:tc>
          <w:tcPr>
            <w:tcW w:w="1469" w:type="dxa"/>
          </w:tcPr>
          <w:p w:rsidR="0048389E" w:rsidP="007F63E5">
            <w:pPr>
              <w:jc w:val="right"/>
              <w:rPr>
                <w:rFonts w:ascii="Arial" w:eastAsia="Arial" w:hAnsi="Arial" w:cs="Arial"/>
              </w:rPr>
            </w:pPr>
            <w:r>
              <w:rPr>
                <w:rFonts w:ascii="Arial" w:eastAsia="Arial" w:hAnsi="Arial" w:cs="Arial"/>
                <w:b/>
              </w:rPr>
              <w:t>$138,094</w:t>
            </w:r>
          </w:p>
        </w:tc>
      </w:tr>
      <w:tr w:rsidTr="007F63E5">
        <w:tblPrEx>
          <w:tblW w:w="0" w:type="auto"/>
          <w:tblInd w:w="360" w:type="dxa"/>
          <w:tblCellMar>
            <w:left w:w="0" w:type="dxa"/>
            <w:right w:w="0" w:type="dxa"/>
          </w:tblCellMar>
          <w:tblLook w:val="04A0"/>
        </w:tblPrEx>
        <w:tc>
          <w:tcPr>
            <w:tcW w:w="5069" w:type="dxa"/>
          </w:tcPr>
          <w:p w:rsidR="0048389E" w:rsidP="007F63E5">
            <w:pPr>
              <w:rPr>
                <w:rFonts w:ascii="Arial" w:eastAsia="Arial" w:hAnsi="Arial" w:cs="Arial"/>
              </w:rPr>
            </w:pPr>
            <w:r>
              <w:rPr>
                <w:rFonts w:ascii="Arial" w:eastAsia="Arial" w:hAnsi="Arial" w:cs="Arial"/>
              </w:rPr>
              <w:t xml:space="preserve"> </w:t>
            </w:r>
          </w:p>
        </w:tc>
        <w:tc>
          <w:tcPr>
            <w:tcW w:w="1469" w:type="dxa"/>
          </w:tcPr>
          <w:p w:rsidR="0048389E" w:rsidP="007F63E5">
            <w:pPr>
              <w:jc w:val="right"/>
              <w:rPr>
                <w:rFonts w:ascii="Arial" w:eastAsia="Arial" w:hAnsi="Arial" w:cs="Arial"/>
              </w:rPr>
            </w:pPr>
            <w:r>
              <w:rPr>
                <w:rFonts w:ascii="Arial" w:eastAsia="Arial" w:hAnsi="Arial" w:cs="Arial"/>
              </w:rPr>
              <w:t>__________</w:t>
            </w:r>
          </w:p>
        </w:tc>
        <w:tc>
          <w:tcPr>
            <w:tcW w:w="1469" w:type="dxa"/>
          </w:tcPr>
          <w:p w:rsidR="0048389E" w:rsidP="007F63E5">
            <w:pPr>
              <w:jc w:val="right"/>
              <w:rPr>
                <w:rFonts w:ascii="Arial" w:eastAsia="Arial" w:hAnsi="Arial" w:cs="Arial"/>
              </w:rPr>
            </w:pPr>
            <w:r>
              <w:rPr>
                <w:rFonts w:ascii="Arial" w:eastAsia="Arial" w:hAnsi="Arial" w:cs="Arial"/>
              </w:rPr>
              <w:t>__________</w:t>
            </w:r>
          </w:p>
        </w:tc>
      </w:tr>
      <w:tr w:rsidTr="007F63E5">
        <w:tblPrEx>
          <w:tblW w:w="0" w:type="auto"/>
          <w:tblInd w:w="360" w:type="dxa"/>
          <w:tblCellMar>
            <w:left w:w="0" w:type="dxa"/>
            <w:right w:w="0" w:type="dxa"/>
          </w:tblCellMar>
          <w:tblLook w:val="04A0"/>
        </w:tblPrEx>
        <w:tc>
          <w:tcPr>
            <w:tcW w:w="5069" w:type="dxa"/>
          </w:tcPr>
          <w:p w:rsidR="0048389E" w:rsidP="007F63E5">
            <w:pPr>
              <w:rPr>
                <w:rFonts w:ascii="Arial" w:eastAsia="Arial" w:hAnsi="Arial" w:cs="Arial"/>
              </w:rPr>
            </w:pPr>
            <w:r>
              <w:rPr>
                <w:rFonts w:ascii="Arial" w:eastAsia="Arial" w:hAnsi="Arial" w:cs="Arial"/>
                <w:b/>
              </w:rPr>
              <w:t>DEPARTMENT TOTAL - ALL FUNDS</w:t>
            </w:r>
          </w:p>
        </w:tc>
        <w:tc>
          <w:tcPr>
            <w:tcW w:w="1469" w:type="dxa"/>
          </w:tcPr>
          <w:p w:rsidR="0048389E" w:rsidP="007F63E5">
            <w:pPr>
              <w:jc w:val="right"/>
              <w:rPr>
                <w:rFonts w:ascii="Arial" w:eastAsia="Arial" w:hAnsi="Arial" w:cs="Arial"/>
              </w:rPr>
            </w:pPr>
            <w:r>
              <w:rPr>
                <w:rFonts w:ascii="Arial" w:eastAsia="Arial" w:hAnsi="Arial" w:cs="Arial"/>
                <w:b/>
              </w:rPr>
              <w:t>$244,515</w:t>
            </w:r>
          </w:p>
        </w:tc>
        <w:tc>
          <w:tcPr>
            <w:tcW w:w="1469" w:type="dxa"/>
          </w:tcPr>
          <w:p w:rsidR="0048389E" w:rsidP="007F63E5">
            <w:pPr>
              <w:jc w:val="right"/>
              <w:rPr>
                <w:rFonts w:ascii="Arial" w:eastAsia="Arial" w:hAnsi="Arial" w:cs="Arial"/>
              </w:rPr>
            </w:pPr>
            <w:r>
              <w:rPr>
                <w:rFonts w:ascii="Arial" w:eastAsia="Arial" w:hAnsi="Arial" w:cs="Arial"/>
                <w:b/>
              </w:rPr>
              <w:t>$138,094</w:t>
            </w:r>
          </w:p>
        </w:tc>
      </w:tr>
      <w:bookmarkEnd w:id="2"/>
      <w:bookmarkEnd w:id="5"/>
      <w:bookmarkEnd w:id="6"/>
      <w:bookmarkEnd w:id="228"/>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LR1979,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Provide Maine Ratepayers with Equitable Access to Interconnection of Distributed Generation Resources</w:t>
    </w:r>
  </w:p>
  <w:p>
    <w:pPr>
      <w:suppressLineNumbers/>
      <w:spacing w:before="0" w:after="0"/>
      <w:jc w:val="center"/>
      <w:rPr>
        <w:rFonts w:ascii="Arial" w:eastAsia="Arial" w:hAnsi="Arial" w:cs="Arial"/>
      </w:rPr>
    </w:pPr>
    <w:r>
      <w:rPr>
        <w:rFonts w:ascii="Arial" w:eastAsia="Arial" w:hAnsi="Arial" w:cs="Arial"/>
        <w:sz w:val="22"/>
      </w:rPr>
      <w:t>L.D. 327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8389E"/>
    <w:rsid w:val="004A4378"/>
    <w:rsid w:val="005500BF"/>
    <w:rsid w:val="005568B1"/>
    <w:rsid w:val="00564135"/>
    <w:rsid w:val="00574B75"/>
    <w:rsid w:val="00610E2A"/>
    <w:rsid w:val="00641982"/>
    <w:rsid w:val="006714D5"/>
    <w:rsid w:val="00695EDF"/>
    <w:rsid w:val="006D40C3"/>
    <w:rsid w:val="007D72C8"/>
    <w:rsid w:val="007F3B1E"/>
    <w:rsid w:val="007F63E5"/>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0B6E"/>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