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Landowners and Land Users Relations Advisory Board to Consider Issues Related to All-terrain Vehicles in the State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Twenty-six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134 - L.D. 350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Resolve, Directing the Landowners and Land Users Relations Advisory Board to Consider Issues Related to All-terrain Vehicles in the State</w:t>
      </w:r>
    </w:p>
    <w:p w:rsidR="0034583F" w:rsidP="0034583F">
      <w:pPr>
        <w:ind w:left="360" w:firstLine="360"/>
        <w:rPr>
          <w:rFonts w:ascii="Arial" w:eastAsia="Arial" w:hAnsi="Arial" w:cs="Arial"/>
        </w:rPr>
      </w:pPr>
      <w:bookmarkStart w:id="0" w:name="_BILL_SECTION_UNALLOCATED__c06e3c5a_f182"/>
      <w:bookmarkStart w:id="1" w:name="_INSTRUCTION__bfef4f7b_a95c_4454_986f_fa"/>
      <w:bookmarkStart w:id="2" w:name="_DOC_BODY_CONTENT__653ce954_3800_470f_a4"/>
      <w:bookmarkStart w:id="3" w:name="_DOC_BODY_CONTAINER__1af379ab_54f4_4b99_"/>
      <w:r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7932aa6f_968c_47b5"/>
      <w:r>
        <w:rPr>
          <w:rFonts w:ascii="Arial" w:eastAsia="Arial" w:hAnsi="Arial" w:cs="Arial"/>
          <w:b/>
          <w:sz w:val="24"/>
        </w:rPr>
        <w:t>1</w:t>
      </w:r>
      <w:bookmarkEnd w:id="4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D12DEF">
        <w:rPr>
          <w:rFonts w:ascii="Arial" w:eastAsia="Arial" w:hAnsi="Arial" w:cs="Arial"/>
          <w:b/>
          <w:sz w:val="24"/>
        </w:rPr>
        <w:t>Study ATV issues.  Resolved:</w:t>
      </w:r>
      <w:r w:rsidRPr="00D12DEF">
        <w:rPr>
          <w:rFonts w:ascii="Arial" w:eastAsia="Arial" w:hAnsi="Arial" w:cs="Arial"/>
          <w:sz w:val="24"/>
        </w:rPr>
        <w:t xml:space="preserve">  </w:t>
      </w:r>
      <w:r w:rsidRPr="00D12DEF">
        <w:rPr>
          <w:rFonts w:ascii="Arial" w:eastAsia="Arial" w:hAnsi="Arial" w:cs="Arial"/>
        </w:rPr>
        <w:t>That the Landowners and Land Users Relations Advisory Board, established in the Maine Revised Statutes, Title 12, section 10157</w:t>
      </w:r>
      <w:r>
        <w:rPr>
          <w:rFonts w:ascii="Arial" w:eastAsia="Arial" w:hAnsi="Arial" w:cs="Arial"/>
        </w:rPr>
        <w:t xml:space="preserve"> and referred to in this resolve as "the advisory board,"</w:t>
      </w:r>
      <w:r w:rsidRPr="00D12DEF">
        <w:rPr>
          <w:rFonts w:ascii="Arial" w:eastAsia="Arial" w:hAnsi="Arial" w:cs="Arial"/>
        </w:rPr>
        <w:t xml:space="preserve"> shall consider issues related to </w:t>
      </w:r>
      <w:r>
        <w:rPr>
          <w:rFonts w:ascii="Arial" w:eastAsia="Arial" w:hAnsi="Arial" w:cs="Arial"/>
        </w:rPr>
        <w:t xml:space="preserve">weights, sizes and classifications of </w:t>
      </w:r>
      <w:r w:rsidRPr="00D12DEF">
        <w:rPr>
          <w:rFonts w:ascii="Arial" w:eastAsia="Arial" w:hAnsi="Arial" w:cs="Arial"/>
        </w:rPr>
        <w:t>all-terrain vehicle</w:t>
      </w:r>
      <w:r>
        <w:rPr>
          <w:rFonts w:ascii="Arial" w:eastAsia="Arial" w:hAnsi="Arial" w:cs="Arial"/>
        </w:rPr>
        <w:t>s</w:t>
      </w:r>
      <w:r w:rsidRPr="00D12DEF">
        <w:rPr>
          <w:rFonts w:ascii="Arial" w:eastAsia="Arial" w:hAnsi="Arial" w:cs="Arial"/>
        </w:rPr>
        <w:t>, referred to in this resolve as "ATV</w:t>
      </w:r>
      <w:r>
        <w:rPr>
          <w:rFonts w:ascii="Arial" w:eastAsia="Arial" w:hAnsi="Arial" w:cs="Arial"/>
        </w:rPr>
        <w:t>s</w:t>
      </w:r>
      <w:r w:rsidRPr="00D12DEF">
        <w:rPr>
          <w:rFonts w:ascii="Arial" w:eastAsia="Arial" w:hAnsi="Arial" w:cs="Arial"/>
        </w:rPr>
        <w:t>," in the State. When considering issues related to ATVs, the advisory board shall consult with the following stakeholders:</w:t>
      </w:r>
    </w:p>
    <w:p w:rsidR="0034583F" w:rsidP="0034583F">
      <w:pPr>
        <w:ind w:left="360" w:firstLine="360"/>
        <w:rPr>
          <w:rFonts w:ascii="Arial" w:eastAsia="Arial" w:hAnsi="Arial" w:cs="Arial"/>
        </w:rPr>
      </w:pPr>
      <w:r w:rsidRPr="00D12DEF">
        <w:rPr>
          <w:rFonts w:ascii="Arial" w:eastAsia="Arial" w:hAnsi="Arial" w:cs="Arial"/>
        </w:rPr>
        <w:t>1</w:t>
      </w:r>
      <w:r>
        <w:rPr>
          <w:rFonts w:ascii="Arial" w:eastAsia="Arial" w:hAnsi="Arial" w:cs="Arial"/>
        </w:rPr>
        <w:t xml:space="preserve">. </w:t>
      </w:r>
      <w:r w:rsidRPr="00D12DEF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</w:t>
      </w:r>
      <w:r w:rsidRPr="00D12DEF">
        <w:rPr>
          <w:rFonts w:ascii="Arial" w:eastAsia="Arial" w:hAnsi="Arial" w:cs="Arial"/>
        </w:rPr>
        <w:t xml:space="preserve">n individual who registered an oversized ATV and had that registration rescinded by the State; </w:t>
      </w:r>
    </w:p>
    <w:p w:rsidR="0034583F" w:rsidP="0034583F">
      <w:pPr>
        <w:ind w:left="360" w:firstLine="360"/>
        <w:rPr>
          <w:rFonts w:ascii="Arial" w:eastAsia="Arial" w:hAnsi="Arial" w:cs="Arial"/>
        </w:rPr>
      </w:pPr>
      <w:r w:rsidRPr="00D12DEF">
        <w:rPr>
          <w:rFonts w:ascii="Arial" w:eastAsia="Arial" w:hAnsi="Arial" w:cs="Arial"/>
        </w:rPr>
        <w:t>2</w:t>
      </w:r>
      <w:r>
        <w:rPr>
          <w:rFonts w:ascii="Arial" w:eastAsia="Arial" w:hAnsi="Arial" w:cs="Arial"/>
        </w:rPr>
        <w:t xml:space="preserve">. </w:t>
      </w:r>
      <w:r w:rsidRPr="00D12DEF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</w:t>
      </w:r>
      <w:r w:rsidRPr="00D12DEF">
        <w:rPr>
          <w:rFonts w:ascii="Arial" w:eastAsia="Arial" w:hAnsi="Arial" w:cs="Arial"/>
        </w:rPr>
        <w:t>n ATV manufacturer;</w:t>
      </w:r>
      <w:r>
        <w:rPr>
          <w:rFonts w:ascii="Arial" w:eastAsia="Arial" w:hAnsi="Arial" w:cs="Arial"/>
        </w:rPr>
        <w:t xml:space="preserve"> </w:t>
      </w:r>
    </w:p>
    <w:p w:rsidR="0034583F" w:rsidP="0034583F">
      <w:pPr>
        <w:ind w:left="360" w:firstLine="360"/>
        <w:rPr>
          <w:rFonts w:ascii="Arial" w:eastAsia="Arial" w:hAnsi="Arial" w:cs="Arial"/>
        </w:rPr>
      </w:pPr>
      <w:r w:rsidRPr="00D12DEF">
        <w:rPr>
          <w:rFonts w:ascii="Arial" w:eastAsia="Arial" w:hAnsi="Arial" w:cs="Arial"/>
        </w:rPr>
        <w:t>3</w:t>
      </w:r>
      <w:r>
        <w:rPr>
          <w:rFonts w:ascii="Arial" w:eastAsia="Arial" w:hAnsi="Arial" w:cs="Arial"/>
        </w:rPr>
        <w:t xml:space="preserve">. </w:t>
      </w:r>
      <w:r w:rsidRPr="00D12DEF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</w:t>
      </w:r>
      <w:r w:rsidRPr="00D12DEF">
        <w:rPr>
          <w:rFonts w:ascii="Arial" w:eastAsia="Arial" w:hAnsi="Arial" w:cs="Arial"/>
        </w:rPr>
        <w:t>n ATV dealer;</w:t>
      </w:r>
      <w:r>
        <w:rPr>
          <w:rFonts w:ascii="Arial" w:eastAsia="Arial" w:hAnsi="Arial" w:cs="Arial"/>
        </w:rPr>
        <w:t xml:space="preserve"> and</w:t>
      </w:r>
    </w:p>
    <w:p w:rsidR="0034583F" w:rsidP="0034583F">
      <w:pPr>
        <w:ind w:left="360" w:firstLine="360"/>
        <w:rPr>
          <w:rFonts w:ascii="Arial" w:eastAsia="Arial" w:hAnsi="Arial" w:cs="Arial"/>
        </w:rPr>
      </w:pPr>
      <w:r w:rsidRPr="00D12DEF">
        <w:rPr>
          <w:rFonts w:ascii="Arial" w:eastAsia="Arial" w:hAnsi="Arial" w:cs="Arial"/>
        </w:rPr>
        <w:t>4</w:t>
      </w:r>
      <w:r>
        <w:rPr>
          <w:rFonts w:ascii="Arial" w:eastAsia="Arial" w:hAnsi="Arial" w:cs="Arial"/>
        </w:rPr>
        <w:t xml:space="preserve">. </w:t>
      </w:r>
      <w:r w:rsidRPr="00D12DEF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</w:t>
      </w:r>
      <w:r w:rsidRPr="00D12DEF">
        <w:rPr>
          <w:rFonts w:ascii="Arial" w:eastAsia="Arial" w:hAnsi="Arial" w:cs="Arial"/>
        </w:rPr>
        <w:t xml:space="preserve">ny other stakeholders </w:t>
      </w:r>
      <w:r>
        <w:rPr>
          <w:rFonts w:ascii="Arial" w:eastAsia="Arial" w:hAnsi="Arial" w:cs="Arial"/>
        </w:rPr>
        <w:t xml:space="preserve">as </w:t>
      </w:r>
      <w:r w:rsidRPr="00D12DEF">
        <w:rPr>
          <w:rFonts w:ascii="Arial" w:eastAsia="Arial" w:hAnsi="Arial" w:cs="Arial"/>
        </w:rPr>
        <w:t>determined by the advisory board.</w:t>
      </w:r>
    </w:p>
    <w:p w:rsidR="00000000" w:rsidP="0034583F">
      <w:pPr>
        <w:ind w:left="360" w:firstLine="360"/>
        <w:rPr>
          <w:rFonts w:ascii="Arial" w:eastAsia="Arial" w:hAnsi="Arial" w:cs="Arial"/>
        </w:rPr>
      </w:pPr>
      <w:bookmarkStart w:id="5" w:name="_BILL_SECTION_UNALLOCATED__ef7bda34_e26f"/>
      <w:bookmarkEnd w:id="0"/>
      <w:r>
        <w:rPr>
          <w:rFonts w:ascii="Arial" w:eastAsia="Arial" w:hAnsi="Arial" w:cs="Arial"/>
          <w:b/>
          <w:sz w:val="24"/>
        </w:rPr>
        <w:t xml:space="preserve">Sec. </w:t>
      </w:r>
      <w:bookmarkStart w:id="6" w:name="_BILL_SECTION_NUMBER__982752e6_eb57_465c"/>
      <w:r>
        <w:rPr>
          <w:rFonts w:ascii="Arial" w:eastAsia="Arial" w:hAnsi="Arial" w:cs="Arial"/>
          <w:b/>
          <w:sz w:val="24"/>
        </w:rPr>
        <w:t>2</w:t>
      </w:r>
      <w:bookmarkEnd w:id="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D12DEF">
        <w:rPr>
          <w:rFonts w:ascii="Arial" w:eastAsia="Arial" w:hAnsi="Arial" w:cs="Arial"/>
          <w:b/>
          <w:sz w:val="24"/>
        </w:rPr>
        <w:t>Report.  Resolved:</w:t>
      </w:r>
      <w:r w:rsidRPr="00D12DEF">
        <w:rPr>
          <w:rFonts w:ascii="Arial" w:eastAsia="Arial" w:hAnsi="Arial" w:cs="Arial"/>
          <w:sz w:val="24"/>
        </w:rPr>
        <w:t xml:space="preserve">  </w:t>
      </w:r>
      <w:r w:rsidRPr="00D12DEF">
        <w:rPr>
          <w:rFonts w:ascii="Arial" w:eastAsia="Arial" w:hAnsi="Arial" w:cs="Arial"/>
        </w:rPr>
        <w:t xml:space="preserve">That the </w:t>
      </w:r>
      <w:r>
        <w:rPr>
          <w:rFonts w:ascii="Arial" w:eastAsia="Arial" w:hAnsi="Arial" w:cs="Arial"/>
        </w:rPr>
        <w:t>a</w:t>
      </w:r>
      <w:r w:rsidRPr="00D12DEF">
        <w:rPr>
          <w:rFonts w:ascii="Arial" w:eastAsia="Arial" w:hAnsi="Arial" w:cs="Arial"/>
        </w:rPr>
        <w:t xml:space="preserve">dvisory </w:t>
      </w:r>
      <w:r>
        <w:rPr>
          <w:rFonts w:ascii="Arial" w:eastAsia="Arial" w:hAnsi="Arial" w:cs="Arial"/>
        </w:rPr>
        <w:t>b</w:t>
      </w:r>
      <w:r w:rsidRPr="00D12DEF">
        <w:rPr>
          <w:rFonts w:ascii="Arial" w:eastAsia="Arial" w:hAnsi="Arial" w:cs="Arial"/>
        </w:rPr>
        <w:t xml:space="preserve">oard shall report to the </w:t>
      </w:r>
      <w:r>
        <w:rPr>
          <w:rFonts w:ascii="Arial" w:eastAsia="Arial" w:hAnsi="Arial" w:cs="Arial"/>
        </w:rPr>
        <w:t>j</w:t>
      </w:r>
      <w:r w:rsidRPr="00D12DEF">
        <w:rPr>
          <w:rFonts w:ascii="Arial" w:eastAsia="Arial" w:hAnsi="Arial" w:cs="Arial"/>
        </w:rPr>
        <w:t xml:space="preserve">oint </w:t>
      </w:r>
      <w:r>
        <w:rPr>
          <w:rFonts w:ascii="Arial" w:eastAsia="Arial" w:hAnsi="Arial" w:cs="Arial"/>
        </w:rPr>
        <w:t>s</w:t>
      </w:r>
      <w:r w:rsidRPr="00D12DEF">
        <w:rPr>
          <w:rFonts w:ascii="Arial" w:eastAsia="Arial" w:hAnsi="Arial" w:cs="Arial"/>
        </w:rPr>
        <w:t xml:space="preserve">tanding </w:t>
      </w:r>
      <w:r>
        <w:rPr>
          <w:rFonts w:ascii="Arial" w:eastAsia="Arial" w:hAnsi="Arial" w:cs="Arial"/>
        </w:rPr>
        <w:t>c</w:t>
      </w:r>
      <w:r w:rsidRPr="00D12DEF">
        <w:rPr>
          <w:rFonts w:ascii="Arial" w:eastAsia="Arial" w:hAnsi="Arial" w:cs="Arial"/>
        </w:rPr>
        <w:t>ommittee o</w:t>
      </w:r>
      <w:r>
        <w:rPr>
          <w:rFonts w:ascii="Arial" w:eastAsia="Arial" w:hAnsi="Arial" w:cs="Arial"/>
        </w:rPr>
        <w:t>f the Legislature having jurisdiction over</w:t>
      </w:r>
      <w:r w:rsidRPr="00D12DEF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i</w:t>
      </w:r>
      <w:r w:rsidRPr="00D12DEF">
        <w:rPr>
          <w:rFonts w:ascii="Arial" w:eastAsia="Arial" w:hAnsi="Arial" w:cs="Arial"/>
        </w:rPr>
        <w:t xml:space="preserve">nland </w:t>
      </w:r>
      <w:r>
        <w:rPr>
          <w:rFonts w:ascii="Arial" w:eastAsia="Arial" w:hAnsi="Arial" w:cs="Arial"/>
        </w:rPr>
        <w:t>f</w:t>
      </w:r>
      <w:r w:rsidRPr="00D12DEF">
        <w:rPr>
          <w:rFonts w:ascii="Arial" w:eastAsia="Arial" w:hAnsi="Arial" w:cs="Arial"/>
        </w:rPr>
        <w:t xml:space="preserve">isheries and </w:t>
      </w:r>
      <w:r>
        <w:rPr>
          <w:rFonts w:ascii="Arial" w:eastAsia="Arial" w:hAnsi="Arial" w:cs="Arial"/>
        </w:rPr>
        <w:t>w</w:t>
      </w:r>
      <w:r w:rsidRPr="00D12DEF">
        <w:rPr>
          <w:rFonts w:ascii="Arial" w:eastAsia="Arial" w:hAnsi="Arial" w:cs="Arial"/>
        </w:rPr>
        <w:t xml:space="preserve">ildlife </w:t>
      </w:r>
      <w:r>
        <w:rPr>
          <w:rFonts w:ascii="Arial" w:eastAsia="Arial" w:hAnsi="Arial" w:cs="Arial"/>
        </w:rPr>
        <w:t xml:space="preserve">matters </w:t>
      </w:r>
      <w:r w:rsidRPr="00D12DEF">
        <w:rPr>
          <w:rFonts w:ascii="Arial" w:eastAsia="Arial" w:hAnsi="Arial" w:cs="Arial"/>
        </w:rPr>
        <w:t xml:space="preserve">with findings and recommendations no later than February 1, 2027. The report must include a summary of the meetings of the </w:t>
      </w:r>
      <w:r>
        <w:rPr>
          <w:rFonts w:ascii="Arial" w:eastAsia="Arial" w:hAnsi="Arial" w:cs="Arial"/>
        </w:rPr>
        <w:t>a</w:t>
      </w:r>
      <w:r w:rsidRPr="00D12DEF">
        <w:rPr>
          <w:rFonts w:ascii="Arial" w:eastAsia="Arial" w:hAnsi="Arial" w:cs="Arial"/>
        </w:rPr>
        <w:t xml:space="preserve">dvisory </w:t>
      </w:r>
      <w:r>
        <w:rPr>
          <w:rFonts w:ascii="Arial" w:eastAsia="Arial" w:hAnsi="Arial" w:cs="Arial"/>
        </w:rPr>
        <w:t>b</w:t>
      </w:r>
      <w:r w:rsidRPr="00D12DEF">
        <w:rPr>
          <w:rFonts w:ascii="Arial" w:eastAsia="Arial" w:hAnsi="Arial" w:cs="Arial"/>
        </w:rPr>
        <w:t>oard pertaining to the issues described in section 1 and a list of the additional stakeholders included in those meetings as described by section 1. The committee may report out a bill related to the report to the 133rd Legislature in 2027.</w:t>
      </w:r>
      <w:bookmarkEnd w:id="1"/>
      <w:bookmarkEnd w:id="2"/>
      <w:bookmarkEnd w:id="3"/>
      <w:bookmarkEnd w:id="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LR1957, item 3 - 132nd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Landowners and Land Users Relations Advisory Board to Consider Issues Related to All-terrain Vehicles in the State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350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4583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2DE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