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the State Harness Racing Commission Greater Efficiency in Rules Enforcement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1449 - L.D. 1944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the State Harness Racing Commission Greater Efficiency in Rules Enforcement</w:t>
      </w:r>
    </w:p>
    <w:p w:rsidR="00063984" w:rsidP="00063984">
      <w:pPr>
        <w:ind w:left="360" w:firstLine="360"/>
        <w:rPr>
          <w:rFonts w:ascii="Arial" w:eastAsia="Arial" w:hAnsi="Arial" w:cs="Arial"/>
        </w:rPr>
      </w:pPr>
      <w:bookmarkStart w:id="0" w:name="_EMERGENCY_PREAMBLE__87edafba_0498_4ece_"/>
      <w:bookmarkStart w:id="1" w:name="_INSTRUCTION__fc69d763_6a05_4f73_bf72_96"/>
      <w:bookmarkStart w:id="2" w:name="_DOC_BODY_CONTAINER__f7a92c4a_eefa_4c29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063984" w:rsidP="0006398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AC59AE">
        <w:rPr>
          <w:rFonts w:ascii="Arial" w:eastAsia="Arial" w:hAnsi="Arial" w:cs="Arial"/>
        </w:rPr>
        <w:t>the State Harness Racing Commission places great value on resolving violations quickly when a potential return of a race purse is called for</w:t>
      </w:r>
      <w:r>
        <w:rPr>
          <w:rFonts w:ascii="Arial" w:eastAsia="Arial" w:hAnsi="Arial" w:cs="Arial"/>
        </w:rPr>
        <w:t>,</w:t>
      </w:r>
      <w:r w:rsidRPr="00AC59AE">
        <w:rPr>
          <w:rFonts w:ascii="Arial" w:eastAsia="Arial" w:hAnsi="Arial" w:cs="Arial"/>
        </w:rPr>
        <w:t xml:space="preserve"> and a disqualified participant </w:t>
      </w:r>
      <w:r>
        <w:rPr>
          <w:rFonts w:ascii="Arial" w:eastAsia="Arial" w:hAnsi="Arial" w:cs="Arial"/>
        </w:rPr>
        <w:t>may</w:t>
      </w:r>
      <w:r w:rsidRPr="00AC59AE">
        <w:rPr>
          <w:rFonts w:ascii="Arial" w:eastAsia="Arial" w:hAnsi="Arial" w:cs="Arial"/>
        </w:rPr>
        <w:t xml:space="preserve"> retain a purse garnered unfairly while distribution to the rightful recipients may be delayed because of the adjudicatory process;</w:t>
      </w:r>
      <w:r>
        <w:rPr>
          <w:rFonts w:ascii="Arial" w:eastAsia="Arial" w:hAnsi="Arial" w:cs="Arial"/>
        </w:rPr>
        <w:t xml:space="preserve"> and</w:t>
      </w:r>
    </w:p>
    <w:p w:rsidR="00063984" w:rsidP="0006398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AC59AE">
        <w:rPr>
          <w:rFonts w:ascii="Arial" w:eastAsia="Arial" w:hAnsi="Arial" w:cs="Arial"/>
        </w:rPr>
        <w:t>this legislation authorizes the State Harness Racing Commission to enter into consent agreements to resolve violations of the laws</w:t>
      </w:r>
      <w:r>
        <w:rPr>
          <w:rFonts w:ascii="Arial" w:eastAsia="Arial" w:hAnsi="Arial" w:cs="Arial"/>
        </w:rPr>
        <w:t xml:space="preserve"> and rules</w:t>
      </w:r>
      <w:r w:rsidRPr="00AC59AE">
        <w:rPr>
          <w:rFonts w:ascii="Arial" w:eastAsia="Arial" w:hAnsi="Arial" w:cs="Arial"/>
        </w:rPr>
        <w:t xml:space="preserve"> relating to harness racing in a more efficient and timely manner;</w:t>
      </w:r>
      <w:r>
        <w:rPr>
          <w:rFonts w:ascii="Arial" w:eastAsia="Arial" w:hAnsi="Arial" w:cs="Arial"/>
        </w:rPr>
        <w:t xml:space="preserve"> and</w:t>
      </w:r>
    </w:p>
    <w:p w:rsidR="00063984" w:rsidP="0006398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063984" w:rsidP="00063984">
      <w:pPr>
        <w:ind w:left="360"/>
        <w:rPr>
          <w:rFonts w:ascii="Arial" w:eastAsia="Arial" w:hAnsi="Arial" w:cs="Arial"/>
        </w:rPr>
      </w:pPr>
      <w:bookmarkStart w:id="3" w:name="_ENACTING_CLAUSE__290b8376_d45d_4170_802"/>
      <w:bookmarkStart w:id="4" w:name="_PAR__1_4288b6e0_6c8d_484e_8bac_c049a45b"/>
      <w:bookmarkEnd w:id="0"/>
      <w:bookmarkEnd w:id="1"/>
      <w:r>
        <w:rPr>
          <w:rFonts w:ascii="Arial" w:eastAsia="Arial" w:hAnsi="Arial" w:cs="Arial"/>
          <w:b/>
        </w:rPr>
        <w:t>Be it enacted by the People of the State of Maine as follows:</w:t>
      </w:r>
    </w:p>
    <w:p w:rsidR="00063984" w:rsidP="00063984">
      <w:pPr>
        <w:ind w:left="360" w:firstLine="360"/>
        <w:rPr>
          <w:rFonts w:ascii="Arial" w:eastAsia="Arial" w:hAnsi="Arial" w:cs="Arial"/>
        </w:rPr>
      </w:pPr>
      <w:bookmarkStart w:id="5" w:name="_BILL_SECTION_HEADER__31d0ceb9_12c8_4081"/>
      <w:bookmarkStart w:id="6" w:name="_PAR__2_b5cbee95_ea6f_4c4e_8cee_b74226df"/>
      <w:bookmarkStart w:id="7" w:name="_BILL_SECTION__447668ee_e665_4650_967f_a"/>
      <w:bookmarkStart w:id="8" w:name="_DOC_BODY_CONTENT__c6ffec41_6db2_47f7_af"/>
      <w:bookmarkEnd w:id="3"/>
      <w:bookmarkEnd w:id="4"/>
      <w:r>
        <w:rPr>
          <w:rFonts w:ascii="Arial" w:eastAsia="Arial" w:hAnsi="Arial" w:cs="Arial"/>
          <w:b/>
          <w:sz w:val="24"/>
        </w:rPr>
        <w:t xml:space="preserve">Sec. </w:t>
      </w:r>
      <w:bookmarkStart w:id="9" w:name="_BILL_SECTION_NUMBER__69d3168b_456f_4070"/>
      <w:r>
        <w:rPr>
          <w:rFonts w:ascii="Arial" w:eastAsia="Arial" w:hAnsi="Arial" w:cs="Arial"/>
          <w:b/>
          <w:sz w:val="24"/>
        </w:rPr>
        <w:t>1</w:t>
      </w:r>
      <w:bookmarkEnd w:id="9"/>
      <w:r>
        <w:rPr>
          <w:rFonts w:ascii="Arial" w:eastAsia="Arial" w:hAnsi="Arial" w:cs="Arial"/>
          <w:b/>
          <w:sz w:val="24"/>
        </w:rPr>
        <w:t>.  8 MRSA §279-B, sub-§3</w:t>
      </w:r>
      <w:r>
        <w:rPr>
          <w:rFonts w:ascii="Arial" w:eastAsia="Arial" w:hAnsi="Arial" w:cs="Arial"/>
        </w:rPr>
        <w:t xml:space="preserve"> is enacted to read:</w:t>
      </w:r>
    </w:p>
    <w:p w:rsidR="00063984" w:rsidP="00063984">
      <w:pPr>
        <w:ind w:left="360" w:firstLine="360"/>
        <w:rPr>
          <w:rFonts w:ascii="Arial" w:eastAsia="Arial" w:hAnsi="Arial" w:cs="Arial"/>
        </w:rPr>
      </w:pPr>
      <w:bookmarkStart w:id="10" w:name="_STATUTE_NUMBER__26f8114a_d017_4156_ad7e"/>
      <w:bookmarkStart w:id="11" w:name="_STATUTE_SS__fbf0d66f_15d7_4b70_8c81_716"/>
      <w:bookmarkStart w:id="12" w:name="_PAR__3_4ee56b72_19fe_4c13_abf8_8fd12ac3"/>
      <w:bookmarkEnd w:id="5"/>
      <w:bookmarkEnd w:id="6"/>
      <w:r>
        <w:rPr>
          <w:rFonts w:ascii="Arial" w:eastAsia="Arial" w:hAnsi="Arial" w:cs="Arial"/>
          <w:b/>
          <w:u w:val="single"/>
        </w:rPr>
        <w:t>3</w:t>
      </w:r>
      <w:bookmarkEnd w:id="10"/>
      <w:r>
        <w:rPr>
          <w:rFonts w:ascii="Arial" w:eastAsia="Arial" w:hAnsi="Arial" w:cs="Arial"/>
          <w:b/>
          <w:u w:val="single"/>
        </w:rPr>
        <w:t xml:space="preserve">.  </w:t>
      </w:r>
      <w:bookmarkStart w:id="13" w:name="_STATUTE_HEADNOTE__4ab06830_44b9_4d4f_8f"/>
      <w:r>
        <w:rPr>
          <w:rFonts w:ascii="Arial" w:eastAsia="Arial" w:hAnsi="Arial" w:cs="Arial"/>
          <w:b/>
          <w:u w:val="single"/>
        </w:rPr>
        <w:t>Consent agreements.</w:t>
      </w:r>
      <w:bookmarkStart w:id="14" w:name="_STATUTE_CONTENT__2496ef44_1490_49f1_929"/>
      <w:bookmarkEnd w:id="13"/>
      <w:r>
        <w:rPr>
          <w:rFonts w:ascii="Arial" w:eastAsia="Arial" w:hAnsi="Arial" w:cs="Arial"/>
          <w:u w:val="single"/>
        </w:rPr>
        <w:t xml:space="preserve"> </w:t>
      </w:r>
      <w:r>
        <w:rPr>
          <w:rFonts w:ascii="Arial" w:eastAsia="Arial" w:hAnsi="Arial" w:cs="Arial"/>
          <w:u w:val="single"/>
        </w:rPr>
        <w:t xml:space="preserve">The </w:t>
      </w:r>
      <w:r>
        <w:rPr>
          <w:rFonts w:ascii="Arial" w:eastAsia="Arial" w:hAnsi="Arial" w:cs="Arial"/>
          <w:u w:val="single"/>
        </w:rPr>
        <w:t xml:space="preserve">commission </w:t>
      </w:r>
      <w:r>
        <w:rPr>
          <w:rFonts w:ascii="Arial" w:eastAsia="Arial" w:hAnsi="Arial" w:cs="Arial"/>
          <w:u w:val="single"/>
        </w:rPr>
        <w:t xml:space="preserve">may execute a consent agreement that resolves a complaint or investigation without further proceedings. </w:t>
      </w:r>
      <w:r>
        <w:rPr>
          <w:rFonts w:ascii="Arial" w:eastAsia="Arial" w:hAnsi="Arial" w:cs="Arial"/>
          <w:u w:val="single"/>
        </w:rPr>
        <w:t>A c</w:t>
      </w:r>
      <w:r>
        <w:rPr>
          <w:rFonts w:ascii="Arial" w:eastAsia="Arial" w:hAnsi="Arial" w:cs="Arial"/>
          <w:u w:val="single"/>
        </w:rPr>
        <w:t>onsent agreement may be entered into only with the consent of the licensee,</w:t>
      </w:r>
      <w:r>
        <w:rPr>
          <w:rFonts w:ascii="Arial" w:eastAsia="Arial" w:hAnsi="Arial" w:cs="Arial"/>
          <w:u w:val="single"/>
        </w:rPr>
        <w:t xml:space="preserve"> </w:t>
      </w:r>
      <w:r>
        <w:rPr>
          <w:rFonts w:ascii="Arial" w:eastAsia="Arial" w:hAnsi="Arial" w:cs="Arial"/>
          <w:u w:val="single"/>
        </w:rPr>
        <w:t>the</w:t>
      </w:r>
      <w:r>
        <w:rPr>
          <w:rFonts w:ascii="Arial" w:eastAsia="Arial" w:hAnsi="Arial" w:cs="Arial"/>
          <w:u w:val="single"/>
        </w:rPr>
        <w:t xml:space="preserve"> commission</w:t>
      </w:r>
      <w:r>
        <w:rPr>
          <w:rFonts w:ascii="Arial" w:eastAsia="Arial" w:hAnsi="Arial" w:cs="Arial"/>
          <w:u w:val="single"/>
        </w:rPr>
        <w:t xml:space="preserve"> and the </w:t>
      </w:r>
      <w:r>
        <w:rPr>
          <w:rFonts w:ascii="Arial" w:eastAsia="Arial" w:hAnsi="Arial" w:cs="Arial"/>
          <w:u w:val="single"/>
        </w:rPr>
        <w:t xml:space="preserve">Department of the </w:t>
      </w:r>
      <w:r>
        <w:rPr>
          <w:rFonts w:ascii="Arial" w:eastAsia="Arial" w:hAnsi="Arial" w:cs="Arial"/>
          <w:u w:val="single"/>
        </w:rPr>
        <w:t>Attorney General. Any remedy, penalty</w:t>
      </w:r>
      <w:r>
        <w:rPr>
          <w:rFonts w:ascii="Arial" w:eastAsia="Arial" w:hAnsi="Arial" w:cs="Arial"/>
          <w:u w:val="single"/>
        </w:rPr>
        <w:t>, purse return</w:t>
      </w:r>
      <w:r>
        <w:rPr>
          <w:rFonts w:ascii="Arial" w:eastAsia="Arial" w:hAnsi="Arial" w:cs="Arial"/>
          <w:u w:val="single"/>
        </w:rPr>
        <w:t xml:space="preserve"> or fine that is otherwise available by law may be achieved by consent agreement, including long-term suspension and permanent revocation of a license or registration. A consent agreement is not subject to review or appeal and may be modified only by a writing executed by all parties to the original consent agreement. A consent agreement is enforceable by an action in Superior Court.</w:t>
      </w:r>
      <w:r w:rsidRPr="00B24EBF">
        <w:rPr>
          <w:rFonts w:ascii="Arial" w:eastAsia="Arial" w:hAnsi="Arial" w:cs="Arial"/>
        </w:rPr>
        <w:t xml:space="preserve">  </w:t>
      </w:r>
    </w:p>
    <w:p w:rsidR="00000000" w:rsidP="00063984">
      <w:pPr>
        <w:ind w:left="360" w:firstLine="360"/>
        <w:rPr>
          <w:rFonts w:ascii="Arial" w:eastAsia="Arial" w:hAnsi="Arial" w:cs="Arial"/>
        </w:rPr>
      </w:pPr>
      <w:bookmarkStart w:id="15" w:name="_EMERGENCY_CLAUSE__8fcbee99_8e2d_4ca4_a4"/>
      <w:bookmarkStart w:id="16" w:name="_INSTRUCTION__5ff711ca_37fd_476e_bacb_7c"/>
      <w:bookmarkEnd w:id="7"/>
      <w:bookmarkEnd w:id="8"/>
      <w:bookmarkEnd w:id="11"/>
      <w:bookmarkEnd w:id="12"/>
      <w:bookmarkEnd w:id="14"/>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5"/>
      <w:bookmarkEnd w:id="1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LR2577,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Provide the State Harness Racing Commission Greater Efficiency in Rules Enforcement</w:t>
    </w:r>
  </w:p>
  <w:p>
    <w:pPr>
      <w:suppressLineNumbers/>
      <w:spacing w:before="0" w:after="0"/>
      <w:jc w:val="center"/>
      <w:rPr>
        <w:rFonts w:ascii="Arial" w:eastAsia="Arial" w:hAnsi="Arial" w:cs="Arial"/>
      </w:rPr>
    </w:pPr>
    <w:r>
      <w:rPr>
        <w:rFonts w:ascii="Arial" w:eastAsia="Arial" w:hAnsi="Arial" w:cs="Arial"/>
        <w:sz w:val="22"/>
      </w:rPr>
      <w:t>L.D. 1944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984"/>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C59AE"/>
    <w:rsid w:val="00B24EBF"/>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