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Bring the Law Governing Emergency Equipment for Trucks and Truck Tractors into Alignment with the Federal Motor Carrier Laws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1381 - L.D. 2068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Bring the Law Governing Emergency Equipment for Trucks and Truck Tractors into Alignment with the Federal Motor Carrier Laws</w:t>
      </w:r>
    </w:p>
    <w:p w:rsidR="00D44430" w:rsidP="00D44430">
      <w:pPr>
        <w:ind w:left="360"/>
        <w:rPr>
          <w:rFonts w:ascii="Arial" w:eastAsia="Arial" w:hAnsi="Arial" w:cs="Arial"/>
        </w:rPr>
      </w:pPr>
      <w:bookmarkStart w:id="0" w:name="_ENACTING_CLAUSE__24336ed3_9714_48d9_a25"/>
      <w:bookmarkStart w:id="1" w:name="_PAR__1_5a02fc13_c594_4c73_8267_196fa8cd"/>
      <w:bookmarkStart w:id="2" w:name="_DOC_BODY_CONTAINER__3fc24af1_9540_4795_"/>
      <w:r>
        <w:rPr>
          <w:rFonts w:ascii="Arial" w:eastAsia="Arial" w:hAnsi="Arial" w:cs="Arial"/>
          <w:b/>
        </w:rPr>
        <w:t>Be it enacted by the People of the State of Maine as follows:</w:t>
      </w:r>
    </w:p>
    <w:p w:rsidR="00D44430" w:rsidP="00D44430">
      <w:pPr>
        <w:ind w:left="360" w:firstLine="360"/>
        <w:rPr>
          <w:rFonts w:ascii="Arial" w:eastAsia="Arial" w:hAnsi="Arial" w:cs="Arial"/>
        </w:rPr>
      </w:pPr>
      <w:bookmarkStart w:id="3" w:name="_BILL_SECTION_HEADER__3bef5b9e_f4e2_43dd"/>
      <w:bookmarkStart w:id="4" w:name="_PAR__2_220c086d_4f2d_45f8_aea7_5d2ca6f1"/>
      <w:bookmarkStart w:id="5" w:name="_BILL_SECTION__69893a2b_8463_47d3_a213_f"/>
      <w:bookmarkStart w:id="6" w:name="_DOC_BODY_CONTENT__6445f3ec_de79_4bf3_8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526fc51_ba6f_46a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§1952, sub-§1,</w:t>
      </w:r>
      <w:r>
        <w:rPr>
          <w:rFonts w:ascii="Arial" w:eastAsia="Arial" w:hAnsi="Arial" w:cs="Arial"/>
        </w:rPr>
        <w:t xml:space="preserve"> as amended by PL 2003, c. 452, Pt. Q, §25 and affected by Pt. X, §2, is further amended to read:</w:t>
      </w:r>
    </w:p>
    <w:p w:rsidR="00D44430" w:rsidP="00D44430">
      <w:pPr>
        <w:ind w:left="360" w:firstLine="360"/>
        <w:rPr>
          <w:rFonts w:ascii="Arial" w:eastAsia="Arial" w:hAnsi="Arial" w:cs="Arial"/>
        </w:rPr>
      </w:pPr>
      <w:bookmarkStart w:id="8" w:name="_STATUTE_NUMBER__c9e8323c_1d33_4533_b18d"/>
      <w:bookmarkStart w:id="9" w:name="_STATUTE_SS__ee906ec1_c5f7_448d_82f8_d70"/>
      <w:bookmarkStart w:id="10" w:name="_PAR__3_e8666ad7_c3c9_477f_8fcf_15855ffb"/>
      <w:bookmarkEnd w:id="3"/>
      <w:bookmarkEnd w:id="4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834e3957_bf96_4ac8_9e"/>
      <w:r>
        <w:rPr>
          <w:rFonts w:ascii="Arial" w:eastAsia="Arial" w:hAnsi="Arial" w:cs="Arial"/>
          <w:b/>
          <w:strike/>
        </w:rPr>
        <w:t>Carry flares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Flares </w:t>
      </w:r>
      <w:bookmarkStart w:id="12" w:name="_ENGROSSING_REV__e4788fa2_334a_41ae_a3c1"/>
      <w:bookmarkStart w:id="13" w:name="_REV__94a8bfe1_3083_49c2_88d5_d48906ac3d"/>
      <w:bookmarkStart w:id="14" w:name="_PROCESSED_CHANGE__78cd4b88_a4f9_45d6_8f"/>
      <w:bookmarkStart w:id="15" w:name="_PROCESSED_CHANGE__330562f2_b8fd_4d2f_b0"/>
      <w:bookmarkStart w:id="16" w:name="_PROCESSED_CHANGE__1575d22b_4b75_4e40_b5"/>
      <w:bookmarkStart w:id="17" w:name="_PROCESSED_CHANGE__e93fb683_f524_4261_ba"/>
      <w:bookmarkStart w:id="18" w:name="_PROCESSED_CHANGE__3c7a2784_e3bf_4f6c_a1"/>
      <w:bookmarkEnd w:id="12"/>
      <w:r w:rsidRPr="001F3ADF">
        <w:rPr>
          <w:rFonts w:ascii="Arial" w:eastAsia="Arial" w:hAnsi="Arial" w:cs="Arial"/>
          <w:b/>
          <w:u w:val="single"/>
        </w:rPr>
        <w:t>or bidirectional emergency</w:t>
      </w:r>
      <w:bookmarkEnd w:id="13"/>
      <w:bookmarkEnd w:id="14"/>
      <w:bookmarkEnd w:id="15"/>
      <w:bookmarkEnd w:id="16"/>
      <w:bookmarkEnd w:id="17"/>
      <w:bookmarkEnd w:id="18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reflective triangles</w:t>
      </w:r>
      <w:r>
        <w:rPr>
          <w:rFonts w:ascii="Arial" w:eastAsia="Arial" w:hAnsi="Arial" w:cs="Arial"/>
          <w:b/>
        </w:rPr>
        <w:t>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e52b05ff_df3a_4111_853"/>
      <w:r>
        <w:rPr>
          <w:rFonts w:ascii="Arial" w:eastAsia="Arial" w:hAnsi="Arial" w:cs="Arial"/>
        </w:rPr>
        <w:t xml:space="preserve">Except as provided in </w:t>
      </w:r>
      <w:bookmarkStart w:id="20" w:name="_CROSS_REFERENCE__24aa2138_a293_4bf5_864"/>
      <w:r>
        <w:rPr>
          <w:rFonts w:ascii="Arial" w:eastAsia="Arial" w:hAnsi="Arial" w:cs="Arial"/>
        </w:rPr>
        <w:t>subsection 1‑A</w:t>
      </w:r>
      <w:bookmarkEnd w:id="20"/>
      <w:r>
        <w:rPr>
          <w:rFonts w:ascii="Arial" w:eastAsia="Arial" w:hAnsi="Arial" w:cs="Arial"/>
        </w:rPr>
        <w:t xml:space="preserve">, a truck or truck tractor with a registration for operation with gross vehicle weight in excess of 10,000 pounds must be equipped with </w:t>
      </w:r>
      <w:r>
        <w:rPr>
          <w:rFonts w:ascii="Arial" w:eastAsia="Arial" w:hAnsi="Arial" w:cs="Arial"/>
          <w:strike/>
        </w:rPr>
        <w:t>2 red flags,</w:t>
      </w:r>
      <w:r>
        <w:rPr>
          <w:rFonts w:ascii="Arial" w:eastAsia="Arial" w:hAnsi="Arial" w:cs="Arial"/>
        </w:rPr>
        <w:t xml:space="preserve"> 3 flares</w:t>
      </w:r>
      <w:bookmarkStart w:id="21" w:name="_ENGROSSING_REV__21532e36_e828_4557_8f1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2" w:name="_ENGROSSING_REV__10d40114_a449_4143_b954"/>
      <w:bookmarkStart w:id="23" w:name="_REV__6d9e0aba_eb8f_4d5c_94f3_2f5718e017"/>
      <w:bookmarkStart w:id="24" w:name="_PROCESSED_CHANGE__d4903d9c_2fa7_4679_b2"/>
      <w:bookmarkStart w:id="25" w:name="_PROCESSED_CHANGE__900b0c9a_650d_478d_95"/>
      <w:bookmarkStart w:id="26" w:name="_PROCESSED_CHANGE__d1b9373b_8f74_45e0_a9"/>
      <w:bookmarkStart w:id="27" w:name="_PROCESSED_CHANGE__77df56ae_6155_4a71_81"/>
      <w:bookmarkStart w:id="28" w:name="_PROCESSED_CHANGE__d079ae5d_6eb4_44c1_b9"/>
      <w:bookmarkEnd w:id="21"/>
      <w:bookmarkEnd w:id="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23"/>
      <w:bookmarkEnd w:id="24"/>
      <w:bookmarkEnd w:id="25"/>
      <w:bookmarkEnd w:id="26"/>
      <w:bookmarkEnd w:id="27"/>
      <w:bookmarkEnd w:id="28"/>
      <w:r>
        <w:rPr>
          <w:rFonts w:ascii="Arial" w:eastAsia="Arial" w:hAnsi="Arial" w:cs="Arial"/>
        </w:rPr>
        <w:t xml:space="preserve"> 3 </w:t>
      </w:r>
      <w:r>
        <w:rPr>
          <w:rFonts w:ascii="Arial" w:eastAsia="Arial" w:hAnsi="Arial" w:cs="Arial"/>
          <w:strike/>
        </w:rPr>
        <w:t>red lanterns or red emergency reflectors</w:t>
      </w:r>
      <w:r>
        <w:rPr>
          <w:rFonts w:ascii="Arial" w:eastAsia="Arial" w:hAnsi="Arial" w:cs="Arial"/>
        </w:rPr>
        <w:t xml:space="preserve"> </w:t>
      </w:r>
      <w:bookmarkStart w:id="29" w:name="_ENGROSSING_REV__9284ab85_514c_40b1_9142"/>
      <w:bookmarkStart w:id="30" w:name="_REV__8ccb7dc9_cec2_4371_9bfa_4be110eca2"/>
      <w:bookmarkStart w:id="31" w:name="_INSTRUCTION__4e16995c_789f_44b7_9902_a9"/>
      <w:bookmarkStart w:id="32" w:name="_PROCESSED_CHANGE__6634ba86_cc1a_483c_94"/>
      <w:bookmarkStart w:id="33" w:name="_PROCESSED_CHANGE__e49a9af2_7206_450c_ae"/>
      <w:bookmarkStart w:id="34" w:name="_PROCESSED_CHANGE__5f7e8558_5d14_46a1_af"/>
      <w:bookmarkStart w:id="35" w:name="_PROCESSED_CHANGE__f3d24c3d_be90_4950_ab"/>
      <w:bookmarkStart w:id="36" w:name="_PROCESSED_CHANGE__aa5f5f8d_45bf_40b6_ac"/>
      <w:bookmarkEnd w:id="29"/>
      <w:r>
        <w:rPr>
          <w:rFonts w:ascii="Arial" w:eastAsia="Arial" w:hAnsi="Arial" w:cs="Arial"/>
          <w:u w:val="single"/>
        </w:rPr>
        <w:t>bidirectional emergency</w:t>
      </w:r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reflective triangles</w:t>
      </w:r>
      <w:r>
        <w:rPr>
          <w:rFonts w:ascii="Arial" w:eastAsia="Arial" w:hAnsi="Arial" w:cs="Arial"/>
        </w:rPr>
        <w:t>.</w:t>
      </w:r>
      <w:bookmarkEnd w:id="19"/>
    </w:p>
    <w:p w:rsidR="00D44430" w:rsidP="00D44430">
      <w:pPr>
        <w:ind w:left="360" w:firstLine="360"/>
        <w:rPr>
          <w:rFonts w:ascii="Arial" w:eastAsia="Arial" w:hAnsi="Arial" w:cs="Arial"/>
        </w:rPr>
      </w:pPr>
      <w:bookmarkStart w:id="37" w:name="_BILL_SECTION_HEADER__d911f9b7_48c8_4a3b"/>
      <w:bookmarkStart w:id="38" w:name="_PAR__4_78618863_c3b2_4c8d_a7ed_578adbb7"/>
      <w:bookmarkStart w:id="39" w:name="_BILL_SECTION__2d96e78a_9233_41f5_ab36_6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5d7adbcd_fd8e_4ef4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  29-A MRSA §1952, sub-§2,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D44430" w:rsidP="00D44430">
      <w:pPr>
        <w:ind w:left="360" w:firstLine="360"/>
        <w:rPr>
          <w:rFonts w:ascii="Arial" w:eastAsia="Arial" w:hAnsi="Arial" w:cs="Arial"/>
        </w:rPr>
      </w:pPr>
      <w:bookmarkStart w:id="41" w:name="_STATUTE_NUMBER__1dba2567_890e_447d_a30d"/>
      <w:bookmarkStart w:id="42" w:name="_PAR__5_cecadc57_bac9_42ca_9809_a0f9ddcd"/>
      <w:bookmarkStart w:id="43" w:name="_STATUTE_SS__e2c79ca4_4323_46d1_a321_8f8"/>
      <w:bookmarkEnd w:id="37"/>
      <w:bookmarkEnd w:id="38"/>
      <w:r>
        <w:rPr>
          <w:rFonts w:ascii="Arial" w:eastAsia="Arial" w:hAnsi="Arial" w:cs="Arial"/>
          <w:b/>
        </w:rPr>
        <w:t>2</w:t>
      </w:r>
      <w:bookmarkEnd w:id="41"/>
      <w:r>
        <w:rPr>
          <w:rFonts w:ascii="Arial" w:eastAsia="Arial" w:hAnsi="Arial" w:cs="Arial"/>
          <w:b/>
        </w:rPr>
        <w:t xml:space="preserve">.  </w:t>
      </w:r>
      <w:bookmarkStart w:id="44" w:name="_STATUTE_HEADNOTE__f1073c4d_0754_4e96_be"/>
      <w:r>
        <w:rPr>
          <w:rFonts w:ascii="Arial" w:eastAsia="Arial" w:hAnsi="Arial" w:cs="Arial"/>
          <w:b/>
        </w:rPr>
        <w:t>Disabled vehicle.</w:t>
      </w:r>
      <w:bookmarkEnd w:id="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5" w:name="_STATUTE_CONTENT__85210870_a861_4e11_b7e"/>
      <w:r>
        <w:rPr>
          <w:rFonts w:ascii="Arial" w:eastAsia="Arial" w:hAnsi="Arial" w:cs="Arial"/>
        </w:rPr>
        <w:t>When a truck or truck tractor with a registration for operation with gross vehicle weight in excess of 10,000 pounds is disabled on a public way, the operator shall</w:t>
      </w:r>
      <w:r>
        <w:rPr>
          <w:rFonts w:ascii="Arial" w:eastAsia="Arial" w:hAnsi="Arial" w:cs="Arial"/>
          <w:strike/>
        </w:rPr>
        <w:t>, during the time that lights are required to be illuminated,</w:t>
      </w:r>
      <w:r>
        <w:rPr>
          <w:rFonts w:ascii="Arial" w:eastAsia="Arial" w:hAnsi="Arial" w:cs="Arial"/>
        </w:rPr>
        <w:t xml:space="preserve"> place emergency signals as follows:</w:t>
      </w:r>
      <w:bookmarkEnd w:id="45"/>
    </w:p>
    <w:p w:rsidR="00D44430" w:rsidP="00D44430">
      <w:pPr>
        <w:ind w:left="720"/>
        <w:rPr>
          <w:rFonts w:ascii="Arial" w:eastAsia="Arial" w:hAnsi="Arial" w:cs="Arial"/>
        </w:rPr>
      </w:pPr>
      <w:bookmarkStart w:id="46" w:name="_STATUTE_NUMBER__3848899a_06e2_47cb_b693"/>
      <w:bookmarkStart w:id="47" w:name="_STATUTE_P__72760370_46ee_4fb2_94d0_88eb"/>
      <w:bookmarkStart w:id="48" w:name="_PAR__6_1c8d09a6_821d_4169_858b_37450470"/>
      <w:bookmarkEnd w:id="42"/>
      <w:r>
        <w:rPr>
          <w:rFonts w:ascii="Arial" w:eastAsia="Arial" w:hAnsi="Arial" w:cs="Arial"/>
        </w:rPr>
        <w:t>A</w:t>
      </w:r>
      <w:bookmarkEnd w:id="46"/>
      <w:r>
        <w:rPr>
          <w:rFonts w:ascii="Arial" w:eastAsia="Arial" w:hAnsi="Arial" w:cs="Arial"/>
        </w:rPr>
        <w:t xml:space="preserve">.  </w:t>
      </w:r>
      <w:bookmarkStart w:id="49" w:name="_STATUTE_CONTENT__a651726d_a530_49e4_a79"/>
      <w:r>
        <w:rPr>
          <w:rFonts w:ascii="Arial" w:eastAsia="Arial" w:hAnsi="Arial" w:cs="Arial"/>
        </w:rPr>
        <w:t xml:space="preserve">One flare or </w:t>
      </w:r>
      <w:r>
        <w:rPr>
          <w:rFonts w:ascii="Arial" w:eastAsia="Arial" w:hAnsi="Arial" w:cs="Arial"/>
          <w:strike/>
        </w:rPr>
        <w:t xml:space="preserve">lantern or </w:t>
      </w:r>
      <w:r>
        <w:rPr>
          <w:rFonts w:ascii="Arial" w:eastAsia="Arial" w:hAnsi="Arial" w:cs="Arial"/>
          <w:strike/>
        </w:rPr>
        <w:t>red emergency reflector</w:t>
      </w:r>
      <w:r>
        <w:rPr>
          <w:rFonts w:ascii="Arial" w:eastAsia="Arial" w:hAnsi="Arial" w:cs="Arial"/>
        </w:rPr>
        <w:t xml:space="preserve"> </w:t>
      </w:r>
      <w:bookmarkStart w:id="50" w:name="_ENGROSSING_REV__5eee1e29_f3c5_4819_b651"/>
      <w:bookmarkStart w:id="51" w:name="_REV__55e2db17_df6a_4742_b452_6c16340313"/>
      <w:bookmarkStart w:id="52" w:name="_INSTRUCTION__5b3321d1_3bbd_4af5_acd4_6e"/>
      <w:bookmarkStart w:id="53" w:name="_PROCESSED_CHANGE__cfb2cdae_78be_4e57_9a"/>
      <w:bookmarkStart w:id="54" w:name="_PROCESSED_CHANGE__6064d06c_87f8_442e_a9"/>
      <w:bookmarkStart w:id="55" w:name="_PROCESSED_CHANGE__0d9b9753_4e82_426d_9d"/>
      <w:bookmarkStart w:id="56" w:name="_PROCESSED_CHANGE__8a8fafef_f508_463e_81"/>
      <w:bookmarkStart w:id="57" w:name="_PROCESSED_CHANGE__07f99fc2_6c21_48c7_bd"/>
      <w:bookmarkEnd w:id="50"/>
      <w:r>
        <w:rPr>
          <w:rFonts w:ascii="Arial" w:eastAsia="Arial" w:hAnsi="Arial" w:cs="Arial"/>
          <w:u w:val="single"/>
        </w:rPr>
        <w:t>bidirectional</w:t>
      </w:r>
      <w:r>
        <w:rPr>
          <w:rFonts w:ascii="Arial" w:eastAsia="Arial" w:hAnsi="Arial" w:cs="Arial"/>
          <w:u w:val="single"/>
        </w:rPr>
        <w:t xml:space="preserve"> emergency</w:t>
      </w:r>
      <w:bookmarkEnd w:id="51"/>
      <w:bookmarkEnd w:id="52"/>
      <w:bookmarkEnd w:id="53"/>
      <w:bookmarkEnd w:id="54"/>
      <w:bookmarkEnd w:id="55"/>
      <w:bookmarkEnd w:id="56"/>
      <w:bookmarkEnd w:id="5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reflective tr</w:t>
      </w:r>
      <w:r>
        <w:rPr>
          <w:rFonts w:ascii="Arial" w:eastAsia="Arial" w:hAnsi="Arial" w:cs="Arial"/>
          <w:u w:val="single"/>
        </w:rPr>
        <w:t>iangle</w:t>
      </w:r>
      <w:r>
        <w:rPr>
          <w:rFonts w:ascii="Arial" w:eastAsia="Arial" w:hAnsi="Arial" w:cs="Arial"/>
        </w:rPr>
        <w:t xml:space="preserve"> in the center of the lane of traffic occupied by the disabled motor vehicle not less than 100 feet from the vehicle in the direction of traffic approaching in that lane;</w:t>
      </w:r>
      <w:bookmarkEnd w:id="49"/>
    </w:p>
    <w:p w:rsidR="00D44430" w:rsidP="00D44430">
      <w:pPr>
        <w:ind w:left="720"/>
        <w:rPr>
          <w:rFonts w:ascii="Arial" w:eastAsia="Arial" w:hAnsi="Arial" w:cs="Arial"/>
        </w:rPr>
      </w:pPr>
      <w:bookmarkStart w:id="58" w:name="_STATUTE_NUMBER__9a58e807_ceb8_4b20_bb3f"/>
      <w:bookmarkStart w:id="59" w:name="_STATUTE_P__d104678a_bd95_4c77_8190_2151"/>
      <w:bookmarkStart w:id="60" w:name="_PAR__7_a7ef925e_bdbe_4609_8f5f_20430818"/>
      <w:bookmarkEnd w:id="47"/>
      <w:bookmarkEnd w:id="48"/>
      <w:r>
        <w:rPr>
          <w:rFonts w:ascii="Arial" w:eastAsia="Arial" w:hAnsi="Arial" w:cs="Arial"/>
        </w:rPr>
        <w:t>B</w:t>
      </w:r>
      <w:bookmarkEnd w:id="58"/>
      <w:r>
        <w:rPr>
          <w:rFonts w:ascii="Arial" w:eastAsia="Arial" w:hAnsi="Arial" w:cs="Arial"/>
        </w:rPr>
        <w:t xml:space="preserve">.  </w:t>
      </w:r>
      <w:bookmarkStart w:id="61" w:name="_STATUTE_CONTENT__45897a6b_7fe4_465c_8fd"/>
      <w:r>
        <w:rPr>
          <w:rFonts w:ascii="Arial" w:eastAsia="Arial" w:hAnsi="Arial" w:cs="Arial"/>
        </w:rPr>
        <w:t xml:space="preserve">One flare or </w:t>
      </w:r>
      <w:r>
        <w:rPr>
          <w:rFonts w:ascii="Arial" w:eastAsia="Arial" w:hAnsi="Arial" w:cs="Arial"/>
          <w:strike/>
        </w:rPr>
        <w:t>lantern or red emergency reflector</w:t>
      </w:r>
      <w:r>
        <w:rPr>
          <w:rFonts w:ascii="Arial" w:eastAsia="Arial" w:hAnsi="Arial" w:cs="Arial"/>
        </w:rPr>
        <w:t xml:space="preserve"> </w:t>
      </w:r>
      <w:bookmarkStart w:id="62" w:name="_ENGROSSING_REV__c6682261_3497_46fd_a115"/>
      <w:bookmarkStart w:id="63" w:name="_REV__66798e19_b9c6_448d_a645_04af769c57"/>
      <w:bookmarkStart w:id="64" w:name="_INSTRUCTION__e6cfbfb3_20f9_49f3_9973_9c"/>
      <w:bookmarkStart w:id="65" w:name="_PROCESSED_CHANGE__0eeca788_7166_4435_a2"/>
      <w:bookmarkStart w:id="66" w:name="_PROCESSED_CHANGE__4adac816_7d1c_4b68_b7"/>
      <w:bookmarkStart w:id="67" w:name="_PROCESSED_CHANGE__cef1c7c8_1c84_4ee0_90"/>
      <w:bookmarkStart w:id="68" w:name="_PROCESSED_CHANGE__81d18141_9940_4fd3_93"/>
      <w:bookmarkStart w:id="69" w:name="_PROCESSED_CHANGE__7ccb8963_c936_4ee0_82"/>
      <w:bookmarkEnd w:id="62"/>
      <w:r>
        <w:rPr>
          <w:rFonts w:ascii="Arial" w:eastAsia="Arial" w:hAnsi="Arial" w:cs="Arial"/>
          <w:u w:val="single"/>
        </w:rPr>
        <w:t>bidirectional emergency</w:t>
      </w:r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reflective triangle</w:t>
      </w:r>
      <w:r>
        <w:rPr>
          <w:rFonts w:ascii="Arial" w:eastAsia="Arial" w:hAnsi="Arial" w:cs="Arial"/>
        </w:rPr>
        <w:t xml:space="preserve"> not less than 100 feet from the vehicle in the center of the same lane in the opposite direction; and</w:t>
      </w:r>
      <w:bookmarkEnd w:id="61"/>
    </w:p>
    <w:p w:rsidR="00D44430" w:rsidP="00D44430">
      <w:pPr>
        <w:ind w:left="720"/>
        <w:rPr>
          <w:rFonts w:ascii="Arial" w:eastAsia="Arial" w:hAnsi="Arial" w:cs="Arial"/>
        </w:rPr>
      </w:pPr>
      <w:bookmarkStart w:id="70" w:name="_STATUTE_NUMBER__90e27b5c_e494_41fe_97c4"/>
      <w:bookmarkStart w:id="71" w:name="_STATUTE_P__ba18af1d_0d4f_4f02_a18d_e468"/>
      <w:bookmarkStart w:id="72" w:name="_PAR__8_4c1f0dae_3e11_4c24_a0c3_80165499"/>
      <w:bookmarkEnd w:id="59"/>
      <w:bookmarkEnd w:id="60"/>
      <w:r>
        <w:rPr>
          <w:rFonts w:ascii="Arial" w:eastAsia="Arial" w:hAnsi="Arial" w:cs="Arial"/>
        </w:rPr>
        <w:t>C</w:t>
      </w:r>
      <w:bookmarkEnd w:id="70"/>
      <w:r>
        <w:rPr>
          <w:rFonts w:ascii="Arial" w:eastAsia="Arial" w:hAnsi="Arial" w:cs="Arial"/>
        </w:rPr>
        <w:t xml:space="preserve">.  </w:t>
      </w:r>
      <w:bookmarkStart w:id="73" w:name="_STATUTE_CONTENT__29b78bec_195f_41db_b97"/>
      <w:r>
        <w:rPr>
          <w:rFonts w:ascii="Arial" w:eastAsia="Arial" w:hAnsi="Arial" w:cs="Arial"/>
        </w:rPr>
        <w:t xml:space="preserve">One flare or </w:t>
      </w:r>
      <w:r>
        <w:rPr>
          <w:rFonts w:ascii="Arial" w:eastAsia="Arial" w:hAnsi="Arial" w:cs="Arial"/>
          <w:strike/>
        </w:rPr>
        <w:t>lantern or red emergency reflector</w:t>
      </w:r>
      <w:r>
        <w:rPr>
          <w:rFonts w:ascii="Arial" w:eastAsia="Arial" w:hAnsi="Arial" w:cs="Arial"/>
        </w:rPr>
        <w:t xml:space="preserve"> </w:t>
      </w:r>
      <w:bookmarkStart w:id="74" w:name="_ENGROSSING_REV__cb464f19_ae39_4524_85d3"/>
      <w:bookmarkStart w:id="75" w:name="_REV__6dd5f071_26ef_4166_99ff_c998c0c1c0"/>
      <w:bookmarkStart w:id="76" w:name="_INSTRUCTION__3bc605b4_6f94_4bec_b0d7_61"/>
      <w:bookmarkStart w:id="77" w:name="_PROCESSED_CHANGE__944a408e_3742_476b_8d"/>
      <w:bookmarkStart w:id="78" w:name="_PROCESSED_CHANGE__af16dc34_9e60_4339_af"/>
      <w:bookmarkStart w:id="79" w:name="_PROCESSED_CHANGE__7cc39d6f_2b60_4250_af"/>
      <w:bookmarkStart w:id="80" w:name="_PROCESSED_CHANGE__021959c6_472c_48fc_9b"/>
      <w:bookmarkStart w:id="81" w:name="_PROCESSED_CHANGE__d38fee29_17bc_4c3f_b9"/>
      <w:bookmarkEnd w:id="74"/>
      <w:r>
        <w:rPr>
          <w:rFonts w:ascii="Arial" w:eastAsia="Arial" w:hAnsi="Arial" w:cs="Arial"/>
          <w:u w:val="single"/>
        </w:rPr>
        <w:t>bidirectional emergency</w:t>
      </w:r>
      <w:bookmarkEnd w:id="75"/>
      <w:bookmarkEnd w:id="76"/>
      <w:bookmarkEnd w:id="77"/>
      <w:bookmarkEnd w:id="78"/>
      <w:bookmarkEnd w:id="79"/>
      <w:bookmarkEnd w:id="80"/>
      <w:bookmarkEnd w:id="81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reflective triangle</w:t>
      </w:r>
      <w:r>
        <w:rPr>
          <w:rFonts w:ascii="Arial" w:eastAsia="Arial" w:hAnsi="Arial" w:cs="Arial"/>
        </w:rPr>
        <w:t xml:space="preserve"> at the traffic side of the vehicle not closer than 10 feet from the front or rear.</w:t>
      </w:r>
      <w:bookmarkEnd w:id="73"/>
    </w:p>
    <w:p w:rsidR="00D44430" w:rsidP="00D44430">
      <w:pPr>
        <w:ind w:left="360"/>
        <w:rPr>
          <w:rFonts w:ascii="Arial" w:eastAsia="Arial" w:hAnsi="Arial" w:cs="Arial"/>
        </w:rPr>
      </w:pPr>
      <w:bookmarkStart w:id="82" w:name="_STATUTE_CONTENT__e0f40dab_2f30_4aee_bb9"/>
      <w:bookmarkStart w:id="83" w:name="_STATUTE_P__b7ceb84e_0b74_45c0_9902_11e0"/>
      <w:bookmarkStart w:id="84" w:name="_PAR__9_5a778cce_5ecb_4de8_9e81_d067faa2"/>
      <w:bookmarkEnd w:id="71"/>
      <w:bookmarkEnd w:id="72"/>
      <w:r>
        <w:rPr>
          <w:rFonts w:ascii="Arial" w:eastAsia="Arial" w:hAnsi="Arial" w:cs="Arial"/>
          <w:strike/>
        </w:rPr>
        <w:t>When lights are not required to be illuminated, red flags must be used, except that no flag is required to be placed at the side of the vehicle.</w:t>
      </w:r>
      <w:bookmarkEnd w:id="82"/>
    </w:p>
    <w:p w:rsidR="00D44430" w:rsidP="00D44430">
      <w:pPr>
        <w:ind w:left="360" w:firstLine="360"/>
        <w:rPr>
          <w:rFonts w:ascii="Arial" w:eastAsia="Arial" w:hAnsi="Arial" w:cs="Arial"/>
        </w:rPr>
      </w:pPr>
      <w:bookmarkStart w:id="85" w:name="_BILL_SECTION_HEADER__9f3a7f62_d81d_4b88"/>
      <w:bookmarkStart w:id="86" w:name="_BILL_SECTION__110a884a_2346_4cab_ac86_e"/>
      <w:bookmarkStart w:id="87" w:name="_INSTRUCTION__17bdcabe_5a89_42a5_9ea4_3d"/>
      <w:bookmarkEnd w:id="39"/>
      <w:bookmarkEnd w:id="43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f5e6c483_2b46_4247"/>
      <w:r>
        <w:rPr>
          <w:rFonts w:ascii="Arial" w:eastAsia="Arial" w:hAnsi="Arial" w:cs="Arial"/>
          <w:b/>
          <w:sz w:val="24"/>
        </w:rPr>
        <w:t>3</w:t>
      </w:r>
      <w:bookmarkEnd w:id="88"/>
      <w:r>
        <w:rPr>
          <w:rFonts w:ascii="Arial" w:eastAsia="Arial" w:hAnsi="Arial" w:cs="Arial"/>
          <w:b/>
          <w:sz w:val="24"/>
        </w:rPr>
        <w:t>.  29-A MRSA §1952,</w:t>
      </w:r>
      <w:r>
        <w:rPr>
          <w:rFonts w:ascii="Arial" w:eastAsia="Arial" w:hAnsi="Arial" w:cs="Arial"/>
        </w:rPr>
        <w:t xml:space="preserve"> as </w:t>
      </w:r>
      <w:r w:rsidRPr="00441816">
        <w:rPr>
          <w:rFonts w:ascii="Arial" w:eastAsia="Arial" w:hAnsi="Arial" w:cs="Arial"/>
        </w:rPr>
        <w:t xml:space="preserve">amended by PL 2003, c. 452, </w:t>
      </w:r>
      <w:r>
        <w:rPr>
          <w:rFonts w:ascii="Arial" w:eastAsia="Arial" w:hAnsi="Arial" w:cs="Arial"/>
        </w:rPr>
        <w:t xml:space="preserve">Pt. Q, </w:t>
      </w:r>
      <w:r w:rsidRPr="00441816">
        <w:rPr>
          <w:rFonts w:ascii="Arial" w:eastAsia="Arial" w:hAnsi="Arial" w:cs="Arial"/>
        </w:rPr>
        <w:t>§§25</w:t>
      </w:r>
      <w:r>
        <w:rPr>
          <w:rFonts w:ascii="Arial" w:eastAsia="Arial" w:hAnsi="Arial" w:cs="Arial"/>
        </w:rPr>
        <w:t xml:space="preserve"> and </w:t>
      </w:r>
      <w:r w:rsidRPr="00441816">
        <w:rPr>
          <w:rFonts w:ascii="Arial" w:eastAsia="Arial" w:hAnsi="Arial" w:cs="Arial"/>
        </w:rPr>
        <w:t xml:space="preserve">26 and affected by </w:t>
      </w:r>
      <w:r>
        <w:rPr>
          <w:rFonts w:ascii="Arial" w:eastAsia="Arial" w:hAnsi="Arial" w:cs="Arial"/>
        </w:rPr>
        <w:t xml:space="preserve">Pt. X, </w:t>
      </w:r>
      <w:r w:rsidRPr="00441816">
        <w:rPr>
          <w:rFonts w:ascii="Arial" w:eastAsia="Arial" w:hAnsi="Arial" w:cs="Arial"/>
        </w:rPr>
        <w:t>§2</w:t>
      </w:r>
      <w:r>
        <w:rPr>
          <w:rFonts w:ascii="Arial" w:eastAsia="Arial" w:hAnsi="Arial" w:cs="Arial"/>
        </w:rPr>
        <w:t>, is further amended by enacting at the end a new paragraph to read:</w:t>
      </w:r>
    </w:p>
    <w:p w:rsidR="00000000" w:rsidP="00D44430">
      <w:pPr>
        <w:ind w:left="360" w:firstLine="360"/>
        <w:rPr>
          <w:rFonts w:ascii="Arial" w:eastAsia="Arial" w:hAnsi="Arial" w:cs="Arial"/>
        </w:rPr>
      </w:pPr>
      <w:bookmarkStart w:id="89" w:name="_PROCESSED_CHANGE__3ff71a9e_1425_4d50_bb"/>
      <w:bookmarkStart w:id="90" w:name="_PROCESSED_CHANGE__e09b4fb2_fb8c_4ba4_8c"/>
      <w:bookmarkStart w:id="91" w:name="_REV__2a01411c_3685_42e3_82a4_9e633de3b4"/>
      <w:bookmarkStart w:id="92" w:name="_STATUTE_CONTENT__b36fd818_2130_493a_8da"/>
      <w:bookmarkStart w:id="93" w:name="_STATUTE_P__e70074b0_4dc1_43f3_b0cc_6965"/>
      <w:bookmarkEnd w:id="85"/>
      <w:r>
        <w:rPr>
          <w:rFonts w:ascii="Arial" w:eastAsia="Arial" w:hAnsi="Arial" w:cs="Arial"/>
          <w:u w:val="single"/>
        </w:rPr>
        <w:t>As used in this section, "bidirectional emergency reflective triangle" means an emergency warning device that meets the Federal Motor Vehicle Safety Standards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49 Code of Federal Regulations, Section 571.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25.</w:t>
      </w:r>
      <w:bookmarkEnd w:id="2"/>
      <w:bookmarkEnd w:id="6"/>
      <w:bookmarkEnd w:id="86"/>
      <w:bookmarkEnd w:id="87"/>
      <w:bookmarkEnd w:id="89"/>
      <w:bookmarkEnd w:id="90"/>
      <w:bookmarkEnd w:id="91"/>
      <w:bookmarkEnd w:id="92"/>
      <w:bookmarkEnd w:id="9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LR2629,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Bring the Law Governing Emergency Equipment for Trucks and Truck Tractors into Alignment with the Federal Motor Carrier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3ADF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181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4430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