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for a Variance Rate in the Amount and Potency of Cannabinoids in Adult Use Edible Marijuana Products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1367 - L.D. 1846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for a Variance Rate in the Amount and Potency of Cannabinoids in Adult Use Edible Marijuana Products</w:t>
      </w:r>
    </w:p>
    <w:p w:rsidR="00EE4CE9" w:rsidP="00EE4CE9">
      <w:pPr>
        <w:ind w:left="360"/>
        <w:rPr>
          <w:rFonts w:ascii="Arial" w:eastAsia="Arial" w:hAnsi="Arial" w:cs="Arial"/>
        </w:rPr>
      </w:pPr>
      <w:bookmarkStart w:id="0" w:name="_ENACTING_CLAUSE__e9949b63_1105_4372_943"/>
      <w:bookmarkStart w:id="1" w:name="_PAR__1_edcc5009_2f11_4596_a622_31c5824d"/>
      <w:bookmarkStart w:id="2" w:name="_DOC_BODY_CONTAINER__ce988af8_33c2_43ce_"/>
      <w:r>
        <w:rPr>
          <w:rFonts w:ascii="Arial" w:eastAsia="Arial" w:hAnsi="Arial" w:cs="Arial"/>
          <w:b/>
        </w:rPr>
        <w:t>Be it enacted by the People of the State of Maine as follows:</w:t>
      </w:r>
    </w:p>
    <w:p w:rsidR="00EE4CE9" w:rsidP="00EE4CE9">
      <w:pPr>
        <w:ind w:left="360" w:firstLine="360"/>
        <w:rPr>
          <w:rFonts w:ascii="Arial" w:eastAsia="Arial" w:hAnsi="Arial" w:cs="Arial"/>
        </w:rPr>
      </w:pPr>
      <w:bookmarkStart w:id="3" w:name="_BILL_SECTION_HEADER__01062723_32ae_4203"/>
      <w:bookmarkStart w:id="4" w:name="_PAR__2_964a9d3a_0254_4ffe_857e_5372c8bd"/>
      <w:bookmarkStart w:id="5" w:name="_BILL_SECTION__373e6e26_9186_49f8_a259_6"/>
      <w:bookmarkStart w:id="6" w:name="_DOC_BODY_CONTENT__5b20364f_24c6_498d_99"/>
      <w:bookmarkEnd w:id="0"/>
      <w:bookmarkEnd w:id="1"/>
      <w:r>
        <w:rPr>
          <w:rFonts w:ascii="Arial" w:eastAsia="Arial" w:hAnsi="Arial" w:cs="Arial"/>
          <w:b/>
          <w:sz w:val="24"/>
        </w:rPr>
        <w:t xml:space="preserve">Sec. </w:t>
      </w:r>
      <w:bookmarkStart w:id="7" w:name="_BILL_SECTION_NUMBER__3ac57f3a_eb78_4239"/>
      <w:r>
        <w:rPr>
          <w:rFonts w:ascii="Arial" w:eastAsia="Arial" w:hAnsi="Arial" w:cs="Arial"/>
          <w:b/>
          <w:sz w:val="24"/>
        </w:rPr>
        <w:t>1</w:t>
      </w:r>
      <w:bookmarkEnd w:id="7"/>
      <w:r>
        <w:rPr>
          <w:rFonts w:ascii="Arial" w:eastAsia="Arial" w:hAnsi="Arial" w:cs="Arial"/>
          <w:b/>
          <w:sz w:val="24"/>
        </w:rPr>
        <w:t>.  28-B MRSA §602, sub-§3,</w:t>
      </w:r>
      <w:r>
        <w:rPr>
          <w:rFonts w:ascii="Arial" w:eastAsia="Arial" w:hAnsi="Arial" w:cs="Arial"/>
        </w:rPr>
        <w:t xml:space="preserve"> as enacted by PL 2017, c. 409, Pt. A, §6, is amended to read:</w:t>
      </w:r>
    </w:p>
    <w:p w:rsidR="00EE4CE9" w:rsidP="00EE4CE9">
      <w:pPr>
        <w:ind w:left="360" w:firstLine="360"/>
        <w:rPr>
          <w:rFonts w:ascii="Arial" w:eastAsia="Arial" w:hAnsi="Arial" w:cs="Arial"/>
        </w:rPr>
      </w:pPr>
      <w:bookmarkStart w:id="8" w:name="_STATUTE_NUMBER__18c39d09_6aba_4e41_8692"/>
      <w:bookmarkStart w:id="9" w:name="_STATUTE_SS__64bd8317_87f4_4d73_83b7_e61"/>
      <w:bookmarkStart w:id="10" w:name="_PAR__3_c897e441_45fa_4381_b217_d0f05a11"/>
      <w:bookmarkEnd w:id="3"/>
      <w:bookmarkEnd w:id="4"/>
      <w:r>
        <w:rPr>
          <w:rFonts w:ascii="Arial" w:eastAsia="Arial" w:hAnsi="Arial" w:cs="Arial"/>
          <w:b/>
        </w:rPr>
        <w:t>3</w:t>
      </w:r>
      <w:bookmarkEnd w:id="8"/>
      <w:r>
        <w:rPr>
          <w:rFonts w:ascii="Arial" w:eastAsia="Arial" w:hAnsi="Arial" w:cs="Arial"/>
          <w:b/>
        </w:rPr>
        <w:t xml:space="preserve">.  </w:t>
      </w:r>
      <w:bookmarkStart w:id="11" w:name="_STATUTE_HEADNOTE__2e068077_d205_4d51_b9"/>
      <w:r>
        <w:rPr>
          <w:rFonts w:ascii="Arial" w:eastAsia="Arial" w:hAnsi="Arial" w:cs="Arial"/>
          <w:b/>
        </w:rPr>
        <w:t>Testing process, protocols and standards.</w:t>
      </w:r>
      <w:bookmarkEnd w:id="11"/>
      <w:r>
        <w:rPr>
          <w:rFonts w:ascii="Arial" w:eastAsia="Arial" w:hAnsi="Arial" w:cs="Arial"/>
          <w:b/>
        </w:rPr>
        <w:t xml:space="preserve"> </w:t>
      </w:r>
      <w:r>
        <w:rPr>
          <w:rFonts w:ascii="Arial" w:eastAsia="Arial" w:hAnsi="Arial" w:cs="Arial"/>
        </w:rPr>
        <w:t xml:space="preserve"> </w:t>
      </w:r>
      <w:bookmarkStart w:id="12" w:name="_STATUTE_CONTENT__d8310087_9d45_421c_bc4"/>
      <w:r>
        <w:rPr>
          <w:rFonts w:ascii="Arial" w:eastAsia="Arial" w:hAnsi="Arial" w:cs="Arial"/>
        </w:rPr>
        <w:t>The department shall establish by rule processes, protocols and standards for mandatory and other testing of marijuana and marijuana products that conform with the best practices generally used within the marijuana industry</w:t>
      </w:r>
      <w:r>
        <w:rPr>
          <w:rFonts w:ascii="Arial" w:eastAsia="Arial" w:hAnsi="Arial" w:cs="Arial"/>
          <w:u w:val="single"/>
        </w:rPr>
        <w:t xml:space="preserve">, including, but not limited to, an allowable </w:t>
      </w:r>
      <w:r>
        <w:rPr>
          <w:rFonts w:ascii="Arial" w:eastAsia="Arial" w:hAnsi="Arial" w:cs="Arial"/>
          <w:u w:val="single"/>
        </w:rPr>
        <w:t>variance</w:t>
      </w:r>
      <w:r>
        <w:rPr>
          <w:rFonts w:ascii="Arial" w:eastAsia="Arial" w:hAnsi="Arial" w:cs="Arial"/>
          <w:u w:val="single"/>
        </w:rPr>
        <w:t xml:space="preserve"> rate</w:t>
      </w:r>
      <w:r>
        <w:rPr>
          <w:rFonts w:ascii="Arial" w:eastAsia="Arial" w:hAnsi="Arial" w:cs="Arial"/>
          <w:u w:val="single"/>
        </w:rPr>
        <w:t xml:space="preserve"> for determining the amount or potency of THC or other cannabinoids in edible marijuana products</w:t>
      </w:r>
      <w:r>
        <w:rPr>
          <w:rFonts w:ascii="Arial" w:eastAsia="Arial" w:hAnsi="Arial" w:cs="Arial"/>
        </w:rPr>
        <w:t>.</w:t>
      </w:r>
      <w:bookmarkEnd w:id="12"/>
    </w:p>
    <w:p w:rsidR="00EE4CE9" w:rsidP="00EE4CE9">
      <w:pPr>
        <w:ind w:left="360" w:firstLine="360"/>
        <w:rPr>
          <w:rFonts w:ascii="Arial" w:eastAsia="Arial" w:hAnsi="Arial" w:cs="Arial"/>
        </w:rPr>
      </w:pPr>
      <w:bookmarkStart w:id="13" w:name="_BILL_SECTION_HEADER__384addc4_ea28_48e7"/>
      <w:bookmarkStart w:id="14" w:name="_PAR__4_0a528d69_1a6b_4071_b8d7_83f0bffc"/>
      <w:bookmarkStart w:id="15" w:name="_BILL_SECTION__5d5ee3d6_1fd8_4b7d_b07d_f"/>
      <w:bookmarkEnd w:id="5"/>
      <w:bookmarkEnd w:id="9"/>
      <w:bookmarkEnd w:id="10"/>
      <w:r>
        <w:rPr>
          <w:rFonts w:ascii="Arial" w:eastAsia="Arial" w:hAnsi="Arial" w:cs="Arial"/>
          <w:b/>
          <w:sz w:val="24"/>
        </w:rPr>
        <w:t xml:space="preserve">Sec. </w:t>
      </w:r>
      <w:bookmarkStart w:id="16" w:name="_BILL_SECTION_NUMBER__8311ca73_2a85_4e0b"/>
      <w:r>
        <w:rPr>
          <w:rFonts w:ascii="Arial" w:eastAsia="Arial" w:hAnsi="Arial" w:cs="Arial"/>
          <w:b/>
          <w:sz w:val="24"/>
        </w:rPr>
        <w:t>2</w:t>
      </w:r>
      <w:bookmarkEnd w:id="16"/>
      <w:r>
        <w:rPr>
          <w:rFonts w:ascii="Arial" w:eastAsia="Arial" w:hAnsi="Arial" w:cs="Arial"/>
          <w:b/>
          <w:sz w:val="24"/>
        </w:rPr>
        <w:t>.  28-B MRSA §701, sub-§1, ¶F,</w:t>
      </w:r>
      <w:r>
        <w:rPr>
          <w:rFonts w:ascii="Arial" w:eastAsia="Arial" w:hAnsi="Arial" w:cs="Arial"/>
        </w:rPr>
        <w:t xml:space="preserve"> as enacted by PL 2017, c. 409, Pt. A, §6, is amended to read:</w:t>
      </w:r>
    </w:p>
    <w:p w:rsidR="00EE4CE9" w:rsidP="00EE4CE9">
      <w:pPr>
        <w:ind w:left="720"/>
        <w:rPr>
          <w:rFonts w:ascii="Arial" w:eastAsia="Arial" w:hAnsi="Arial" w:cs="Arial"/>
        </w:rPr>
      </w:pPr>
      <w:bookmarkStart w:id="17" w:name="_STATUTE_NUMBER__69277dbe_1578_4f1b_90af"/>
      <w:bookmarkStart w:id="18" w:name="_STATUTE_P__80a45629_7124_4a9d_978a_d1f8"/>
      <w:bookmarkStart w:id="19" w:name="_PAR__5_333a7105_5df3_43d7_a0e1_cbea17ad"/>
      <w:bookmarkEnd w:id="13"/>
      <w:bookmarkEnd w:id="14"/>
      <w:r>
        <w:rPr>
          <w:rFonts w:ascii="Arial" w:eastAsia="Arial" w:hAnsi="Arial" w:cs="Arial"/>
        </w:rPr>
        <w:t>F</w:t>
      </w:r>
      <w:bookmarkEnd w:id="17"/>
      <w:r>
        <w:rPr>
          <w:rFonts w:ascii="Arial" w:eastAsia="Arial" w:hAnsi="Arial" w:cs="Arial"/>
        </w:rPr>
        <w:t xml:space="preserve">.  </w:t>
      </w:r>
      <w:bookmarkStart w:id="20" w:name="_STATUTE_CONTENT__df9bb560_3dc0_440e_a6d"/>
      <w:r>
        <w:rPr>
          <w:rFonts w:ascii="Arial" w:eastAsia="Arial" w:hAnsi="Arial" w:cs="Arial"/>
        </w:rPr>
        <w:t>Information on the THC potency of the marijuana or marijuana product and the potency of such other cannabinoids or other chemicals in the marijuana or marijuana product, including, but not limited to, cannabidiol</w:t>
      </w:r>
      <w:r>
        <w:rPr>
          <w:rFonts w:ascii="Arial" w:eastAsia="Arial" w:hAnsi="Arial" w:cs="Arial"/>
          <w:u w:val="single"/>
        </w:rPr>
        <w:t>.  For edible marijuana products, the information required pursuant to this paragraph must be consistent with section 703, subsection 1, paragraphs F and F-1</w:t>
      </w:r>
      <w:r>
        <w:rPr>
          <w:rFonts w:ascii="Arial" w:eastAsia="Arial" w:hAnsi="Arial" w:cs="Arial"/>
        </w:rPr>
        <w:t>;</w:t>
      </w:r>
      <w:bookmarkEnd w:id="20"/>
    </w:p>
    <w:p w:rsidR="00EE4CE9" w:rsidP="00EE4CE9">
      <w:pPr>
        <w:ind w:left="360" w:firstLine="360"/>
        <w:rPr>
          <w:rFonts w:ascii="Arial" w:eastAsia="Arial" w:hAnsi="Arial" w:cs="Arial"/>
        </w:rPr>
      </w:pPr>
      <w:bookmarkStart w:id="21" w:name="_BILL_SECTION_HEADER__7e9d812c_8e43_471f"/>
      <w:bookmarkStart w:id="22" w:name="_PAR__6_028132cc_2eba_4cc3_9207_e7f6ad71"/>
      <w:bookmarkStart w:id="23" w:name="_BILL_SECTION__36e30bf7_040e_469f_85f2_e"/>
      <w:bookmarkEnd w:id="15"/>
      <w:bookmarkEnd w:id="18"/>
      <w:bookmarkEnd w:id="19"/>
      <w:r>
        <w:rPr>
          <w:rFonts w:ascii="Arial" w:eastAsia="Arial" w:hAnsi="Arial" w:cs="Arial"/>
          <w:b/>
          <w:sz w:val="24"/>
        </w:rPr>
        <w:t xml:space="preserve">Sec. </w:t>
      </w:r>
      <w:bookmarkStart w:id="24" w:name="_BILL_SECTION_NUMBER__dc6ef4ea_a61b_496f"/>
      <w:r>
        <w:rPr>
          <w:rFonts w:ascii="Arial" w:eastAsia="Arial" w:hAnsi="Arial" w:cs="Arial"/>
          <w:b/>
          <w:sz w:val="24"/>
        </w:rPr>
        <w:t>3</w:t>
      </w:r>
      <w:bookmarkEnd w:id="24"/>
      <w:r>
        <w:rPr>
          <w:rFonts w:ascii="Arial" w:eastAsia="Arial" w:hAnsi="Arial" w:cs="Arial"/>
          <w:b/>
          <w:sz w:val="24"/>
        </w:rPr>
        <w:t>.  28-B MRSA §701, sub-§1, ¶G,</w:t>
      </w:r>
      <w:r>
        <w:rPr>
          <w:rFonts w:ascii="Arial" w:eastAsia="Arial" w:hAnsi="Arial" w:cs="Arial"/>
        </w:rPr>
        <w:t xml:space="preserve"> as enacted by PL 2017, c. 409, Pt. A, §6, is amended to read:</w:t>
      </w:r>
    </w:p>
    <w:p w:rsidR="00EE4CE9" w:rsidP="00EE4CE9">
      <w:pPr>
        <w:ind w:left="720"/>
        <w:rPr>
          <w:rFonts w:ascii="Arial" w:eastAsia="Arial" w:hAnsi="Arial" w:cs="Arial"/>
        </w:rPr>
      </w:pPr>
      <w:bookmarkStart w:id="25" w:name="_STATUTE_NUMBER__1ed70c03_24d6_4997_bb3e"/>
      <w:bookmarkStart w:id="26" w:name="_STATUTE_P__1bfe80be_4c1a_439e_a306_023b"/>
      <w:bookmarkStart w:id="27" w:name="_PAR__7_c59291a1_f851_43d6_a1b6_6ff6c000"/>
      <w:bookmarkEnd w:id="21"/>
      <w:bookmarkEnd w:id="22"/>
      <w:r>
        <w:rPr>
          <w:rFonts w:ascii="Arial" w:eastAsia="Arial" w:hAnsi="Arial" w:cs="Arial"/>
        </w:rPr>
        <w:t>G</w:t>
      </w:r>
      <w:bookmarkEnd w:id="25"/>
      <w:r>
        <w:rPr>
          <w:rFonts w:ascii="Arial" w:eastAsia="Arial" w:hAnsi="Arial" w:cs="Arial"/>
        </w:rPr>
        <w:t xml:space="preserve">.  </w:t>
      </w:r>
      <w:bookmarkStart w:id="28" w:name="_STATUTE_CONTENT__0a78bcb0_3e6f_4663_9be"/>
      <w:r>
        <w:rPr>
          <w:rFonts w:ascii="Arial" w:eastAsia="Arial" w:hAnsi="Arial" w:cs="Arial"/>
        </w:rPr>
        <w:t xml:space="preserve">Information on the amount of THC and cannabidiol per serving of the marijuana or marijuana product </w:t>
      </w:r>
      <w:r>
        <w:rPr>
          <w:rFonts w:ascii="Arial" w:eastAsia="Arial" w:hAnsi="Arial" w:cs="Arial"/>
          <w:strike/>
        </w:rPr>
        <w:t>and, for</w:t>
      </w:r>
      <w:r>
        <w:rPr>
          <w:rFonts w:ascii="Arial" w:eastAsia="Arial" w:hAnsi="Arial" w:cs="Arial"/>
          <w:u w:val="single"/>
        </w:rPr>
        <w:t>. For</w:t>
      </w:r>
      <w:r>
        <w:rPr>
          <w:rFonts w:ascii="Arial" w:eastAsia="Arial" w:hAnsi="Arial" w:cs="Arial"/>
        </w:rPr>
        <w:t xml:space="preserve"> edible marijuana products,</w:t>
      </w:r>
      <w:r w:rsidRPr="00BF20ED">
        <w:rPr>
          <w:rFonts w:ascii="Arial" w:eastAsia="Arial" w:hAnsi="Arial" w:cs="Arial"/>
        </w:rPr>
        <w:t xml:space="preserve"> </w:t>
      </w:r>
      <w:r>
        <w:rPr>
          <w:rFonts w:ascii="Arial" w:eastAsia="Arial" w:hAnsi="Arial" w:cs="Arial"/>
          <w:u w:val="single"/>
        </w:rPr>
        <w:t>the information required pursuant to this paragraph must be consistent with section 703, subsection 1, paragraphs F and F-1 and contain</w:t>
      </w:r>
      <w:r>
        <w:rPr>
          <w:rFonts w:ascii="Arial" w:eastAsia="Arial" w:hAnsi="Arial" w:cs="Arial"/>
        </w:rPr>
        <w:t xml:space="preserve"> the number of servings per package;</w:t>
      </w:r>
      <w:bookmarkEnd w:id="28"/>
    </w:p>
    <w:p w:rsidR="00EE4CE9" w:rsidP="00EE4CE9">
      <w:pPr>
        <w:ind w:left="360" w:firstLine="360"/>
        <w:rPr>
          <w:rFonts w:ascii="Arial" w:eastAsia="Arial" w:hAnsi="Arial" w:cs="Arial"/>
        </w:rPr>
      </w:pPr>
      <w:bookmarkStart w:id="29" w:name="_BILL_SECTION_HEADER__9d40e9b9_0d69_470a"/>
      <w:bookmarkStart w:id="30" w:name="_PAR__8_22648278_c165_4e31_8c86_b6215e07"/>
      <w:bookmarkStart w:id="31" w:name="_BILL_SECTION__13be731b_e438_4ab2_ad70_2"/>
      <w:bookmarkEnd w:id="23"/>
      <w:bookmarkEnd w:id="26"/>
      <w:bookmarkEnd w:id="27"/>
      <w:r>
        <w:rPr>
          <w:rFonts w:ascii="Arial" w:eastAsia="Arial" w:hAnsi="Arial" w:cs="Arial"/>
          <w:b/>
          <w:sz w:val="24"/>
        </w:rPr>
        <w:t xml:space="preserve">Sec. </w:t>
      </w:r>
      <w:bookmarkStart w:id="32" w:name="_BILL_SECTION_NUMBER__6c9f2801_d63c_4d6b"/>
      <w:r>
        <w:rPr>
          <w:rFonts w:ascii="Arial" w:eastAsia="Arial" w:hAnsi="Arial" w:cs="Arial"/>
          <w:b/>
          <w:sz w:val="24"/>
        </w:rPr>
        <w:t>4</w:t>
      </w:r>
      <w:bookmarkEnd w:id="32"/>
      <w:r>
        <w:rPr>
          <w:rFonts w:ascii="Arial" w:eastAsia="Arial" w:hAnsi="Arial" w:cs="Arial"/>
          <w:b/>
          <w:sz w:val="24"/>
        </w:rPr>
        <w:t>.  28-B MRSA §703, sub-§1, ¶F,</w:t>
      </w:r>
      <w:r>
        <w:rPr>
          <w:rFonts w:ascii="Arial" w:eastAsia="Arial" w:hAnsi="Arial" w:cs="Arial"/>
        </w:rPr>
        <w:t xml:space="preserve"> as enacted by PL 2017, c. 409, Pt. A, §6, is amended to read:</w:t>
      </w:r>
    </w:p>
    <w:p w:rsidR="00EE4CE9" w:rsidP="00EE4CE9">
      <w:pPr>
        <w:ind w:left="720"/>
        <w:rPr>
          <w:rFonts w:ascii="Arial" w:eastAsia="Arial" w:hAnsi="Arial" w:cs="Arial"/>
        </w:rPr>
      </w:pPr>
      <w:bookmarkStart w:id="33" w:name="_STATUTE_NUMBER__09685b67_2f09_48f7_b49b"/>
      <w:bookmarkStart w:id="34" w:name="_STATUTE_P__6f0b504f_b30e_4275_b2e2_2a5b"/>
      <w:bookmarkStart w:id="35" w:name="_PAR__9_cc71706e_4c35_4cdf_bedc_c2be924e"/>
      <w:bookmarkEnd w:id="29"/>
      <w:bookmarkEnd w:id="30"/>
      <w:r>
        <w:rPr>
          <w:rFonts w:ascii="Arial" w:eastAsia="Arial" w:hAnsi="Arial" w:cs="Arial"/>
        </w:rPr>
        <w:t>F</w:t>
      </w:r>
      <w:bookmarkEnd w:id="33"/>
      <w:r>
        <w:rPr>
          <w:rFonts w:ascii="Arial" w:eastAsia="Arial" w:hAnsi="Arial" w:cs="Arial"/>
        </w:rPr>
        <w:t xml:space="preserve">.  </w:t>
      </w:r>
      <w:bookmarkStart w:id="36" w:name="_STATUTE_CONTENT__f50845e2_3045_44df_a41"/>
      <w:r>
        <w:rPr>
          <w:rFonts w:ascii="Arial" w:eastAsia="Arial" w:hAnsi="Arial" w:cs="Arial"/>
        </w:rPr>
        <w:t>May not contain more than 10 milligrams of THC per serving of the product and may not contain more than 100 milligrams of THC per package of the product</w:t>
      </w:r>
      <w:r>
        <w:rPr>
          <w:rFonts w:ascii="Arial" w:eastAsia="Arial" w:hAnsi="Arial" w:cs="Arial"/>
          <w:u w:val="single"/>
        </w:rPr>
        <w:t>, with an allowable variance</w:t>
      </w:r>
      <w:r>
        <w:rPr>
          <w:rFonts w:ascii="Arial" w:eastAsia="Arial" w:hAnsi="Arial" w:cs="Arial"/>
          <w:u w:val="single"/>
        </w:rPr>
        <w:t xml:space="preserve"> rate</w:t>
      </w:r>
      <w:r>
        <w:rPr>
          <w:rFonts w:ascii="Arial" w:eastAsia="Arial" w:hAnsi="Arial" w:cs="Arial"/>
          <w:u w:val="single"/>
        </w:rPr>
        <w:t xml:space="preserve"> of 10%, except that the allowable variance may not be less than 0.6 milligrams or greater than 5 milligrams. In </w:t>
      </w:r>
      <w:r>
        <w:rPr>
          <w:rFonts w:ascii="Arial" w:eastAsia="Arial" w:hAnsi="Arial" w:cs="Arial"/>
          <w:u w:val="single"/>
        </w:rPr>
        <w:t>the calculation of</w:t>
      </w:r>
      <w:r>
        <w:rPr>
          <w:rFonts w:ascii="Arial" w:eastAsia="Arial" w:hAnsi="Arial" w:cs="Arial"/>
          <w:u w:val="single"/>
        </w:rPr>
        <w:t xml:space="preserve"> the amount of THC </w:t>
      </w:r>
      <w:r>
        <w:rPr>
          <w:rFonts w:ascii="Arial" w:eastAsia="Arial" w:hAnsi="Arial" w:cs="Arial"/>
          <w:u w:val="single"/>
        </w:rPr>
        <w:t xml:space="preserve">allowed </w:t>
      </w:r>
      <w:r>
        <w:rPr>
          <w:rFonts w:ascii="Arial" w:eastAsia="Arial" w:hAnsi="Arial" w:cs="Arial"/>
          <w:u w:val="single"/>
        </w:rPr>
        <w:t>under this paragraph, the allowable variance</w:t>
      </w:r>
      <w:r>
        <w:rPr>
          <w:rFonts w:ascii="Arial" w:eastAsia="Arial" w:hAnsi="Arial" w:cs="Arial"/>
          <w:u w:val="single"/>
        </w:rPr>
        <w:t xml:space="preserve"> rate</w:t>
      </w:r>
      <w:r>
        <w:rPr>
          <w:rFonts w:ascii="Arial" w:eastAsia="Arial" w:hAnsi="Arial" w:cs="Arial"/>
          <w:u w:val="single"/>
        </w:rPr>
        <w:t xml:space="preserve"> must be in addition to </w:t>
      </w:r>
      <w:r>
        <w:rPr>
          <w:rFonts w:ascii="Arial" w:eastAsia="Arial" w:hAnsi="Arial" w:cs="Arial"/>
          <w:u w:val="single"/>
        </w:rPr>
        <w:t>the allowable variance</w:t>
      </w:r>
      <w:r>
        <w:rPr>
          <w:rFonts w:ascii="Arial" w:eastAsia="Arial" w:hAnsi="Arial" w:cs="Arial"/>
          <w:u w:val="single"/>
        </w:rPr>
        <w:t xml:space="preserve"> </w:t>
      </w:r>
      <w:r>
        <w:rPr>
          <w:rFonts w:ascii="Arial" w:eastAsia="Arial" w:hAnsi="Arial" w:cs="Arial"/>
          <w:u w:val="single"/>
        </w:rPr>
        <w:t xml:space="preserve">rate </w:t>
      </w:r>
      <w:r>
        <w:rPr>
          <w:rFonts w:ascii="Arial" w:eastAsia="Arial" w:hAnsi="Arial" w:cs="Arial"/>
          <w:u w:val="single"/>
        </w:rPr>
        <w:t>applicable to a testing facility pursuant to section 602, subsection 3</w:t>
      </w:r>
      <w:r>
        <w:rPr>
          <w:rFonts w:ascii="Arial" w:eastAsia="Arial" w:hAnsi="Arial" w:cs="Arial"/>
        </w:rPr>
        <w:t>;</w:t>
      </w:r>
      <w:bookmarkEnd w:id="36"/>
    </w:p>
    <w:p w:rsidR="00EE4CE9" w:rsidP="00EE4CE9">
      <w:pPr>
        <w:ind w:left="360" w:firstLine="360"/>
        <w:rPr>
          <w:rFonts w:ascii="Arial" w:eastAsia="Arial" w:hAnsi="Arial" w:cs="Arial"/>
        </w:rPr>
      </w:pPr>
      <w:bookmarkStart w:id="37" w:name="_BILL_SECTION_HEADER__18eae02b_965a_4184"/>
      <w:bookmarkStart w:id="38" w:name="_PAR__10_b9ad49eb_81c7_4e56_a6e0_ec51192"/>
      <w:bookmarkStart w:id="39" w:name="_BILL_SECTION__4e359cd7_6d7c_4eb4_9716_4"/>
      <w:bookmarkEnd w:id="31"/>
      <w:bookmarkEnd w:id="34"/>
      <w:bookmarkEnd w:id="35"/>
      <w:r>
        <w:rPr>
          <w:rFonts w:ascii="Arial" w:eastAsia="Arial" w:hAnsi="Arial" w:cs="Arial"/>
          <w:b/>
          <w:sz w:val="24"/>
        </w:rPr>
        <w:t xml:space="preserve">Sec. </w:t>
      </w:r>
      <w:bookmarkStart w:id="40" w:name="_BILL_SECTION_NUMBER__a44e763c_c867_4ac2"/>
      <w:r>
        <w:rPr>
          <w:rFonts w:ascii="Arial" w:eastAsia="Arial" w:hAnsi="Arial" w:cs="Arial"/>
          <w:b/>
          <w:sz w:val="24"/>
        </w:rPr>
        <w:t>5</w:t>
      </w:r>
      <w:bookmarkEnd w:id="40"/>
      <w:r>
        <w:rPr>
          <w:rFonts w:ascii="Arial" w:eastAsia="Arial" w:hAnsi="Arial" w:cs="Arial"/>
          <w:b/>
          <w:sz w:val="24"/>
        </w:rPr>
        <w:t>.  28-B MRSA §703, sub-§1, ¶F-1</w:t>
      </w:r>
      <w:r>
        <w:rPr>
          <w:rFonts w:ascii="Arial" w:eastAsia="Arial" w:hAnsi="Arial" w:cs="Arial"/>
        </w:rPr>
        <w:t xml:space="preserve"> is enacted to read:</w:t>
      </w:r>
    </w:p>
    <w:p w:rsidR="00000000" w:rsidP="00EE4CE9">
      <w:pPr>
        <w:ind w:left="720"/>
        <w:rPr>
          <w:rFonts w:ascii="Arial" w:eastAsia="Arial" w:hAnsi="Arial" w:cs="Arial"/>
        </w:rPr>
      </w:pPr>
      <w:bookmarkStart w:id="41" w:name="_STATUTE_NUMBER__73570a00_30c5_4b6e_8b7d"/>
      <w:bookmarkStart w:id="42" w:name="_STATUTE_P__e8014a65_10b5_4e54_9b38_2103"/>
      <w:bookmarkStart w:id="43" w:name="_PAR__11_599139dd_f47d_42f5_880f_c41bb50"/>
      <w:bookmarkEnd w:id="37"/>
      <w:bookmarkEnd w:id="38"/>
      <w:r>
        <w:rPr>
          <w:rFonts w:ascii="Arial" w:eastAsia="Arial" w:hAnsi="Arial" w:cs="Arial"/>
          <w:u w:val="single"/>
        </w:rPr>
        <w:t>F-1</w:t>
      </w:r>
      <w:bookmarkEnd w:id="41"/>
      <w:r>
        <w:rPr>
          <w:rFonts w:ascii="Arial" w:eastAsia="Arial" w:hAnsi="Arial" w:cs="Arial"/>
          <w:u w:val="single"/>
        </w:rPr>
        <w:t xml:space="preserve">.  </w:t>
      </w:r>
      <w:bookmarkStart w:id="44" w:name="_STATUTE_CONTENT__4174d34c_6083_4890_ba6"/>
      <w:r>
        <w:rPr>
          <w:rFonts w:ascii="Arial" w:eastAsia="Arial" w:hAnsi="Arial" w:cs="Arial"/>
          <w:u w:val="single"/>
        </w:rPr>
        <w:t>May, except as provided in paragraph F, have the amount or potency of cannabinoids calculated using an allowable variance</w:t>
      </w:r>
      <w:r>
        <w:rPr>
          <w:rFonts w:ascii="Arial" w:eastAsia="Arial" w:hAnsi="Arial" w:cs="Arial"/>
          <w:u w:val="single"/>
        </w:rPr>
        <w:t xml:space="preserve"> rate</w:t>
      </w:r>
      <w:r>
        <w:rPr>
          <w:rFonts w:ascii="Arial" w:eastAsia="Arial" w:hAnsi="Arial" w:cs="Arial"/>
          <w:u w:val="single"/>
        </w:rPr>
        <w:t xml:space="preserve"> of 10%, except that the allowable variance may not be less than 0.6 milligrams or greater than 5 milligrams. In </w:t>
      </w:r>
      <w:r>
        <w:rPr>
          <w:rFonts w:ascii="Arial" w:eastAsia="Arial" w:hAnsi="Arial" w:cs="Arial"/>
          <w:u w:val="single"/>
        </w:rPr>
        <w:t>the calculation of</w:t>
      </w:r>
      <w:r>
        <w:rPr>
          <w:rFonts w:ascii="Arial" w:eastAsia="Arial" w:hAnsi="Arial" w:cs="Arial"/>
          <w:u w:val="single"/>
        </w:rPr>
        <w:t xml:space="preserve"> the amount or potency of cannabinoids </w:t>
      </w:r>
      <w:r>
        <w:rPr>
          <w:rFonts w:ascii="Arial" w:eastAsia="Arial" w:hAnsi="Arial" w:cs="Arial"/>
          <w:u w:val="single"/>
        </w:rPr>
        <w:t xml:space="preserve">allowed </w:t>
      </w:r>
      <w:r>
        <w:rPr>
          <w:rFonts w:ascii="Arial" w:eastAsia="Arial" w:hAnsi="Arial" w:cs="Arial"/>
          <w:u w:val="single"/>
        </w:rPr>
        <w:t xml:space="preserve">under this paragraph, the allowable variance rate may be in addition to </w:t>
      </w:r>
      <w:r>
        <w:rPr>
          <w:rFonts w:ascii="Arial" w:eastAsia="Arial" w:hAnsi="Arial" w:cs="Arial"/>
          <w:u w:val="single"/>
        </w:rPr>
        <w:t>the allowable variance</w:t>
      </w:r>
      <w:r>
        <w:rPr>
          <w:rFonts w:ascii="Arial" w:eastAsia="Arial" w:hAnsi="Arial" w:cs="Arial"/>
          <w:u w:val="single"/>
        </w:rPr>
        <w:t xml:space="preserve"> rate</w:t>
      </w:r>
      <w:r>
        <w:rPr>
          <w:rFonts w:ascii="Arial" w:eastAsia="Arial" w:hAnsi="Arial" w:cs="Arial"/>
          <w:u w:val="single"/>
        </w:rPr>
        <w:t xml:space="preserve"> applicable to a testing facility pursuant to section 602, subsection 3;</w:t>
      </w:r>
      <w:bookmarkEnd w:id="2"/>
      <w:bookmarkEnd w:id="6"/>
      <w:bookmarkEnd w:id="39"/>
      <w:bookmarkEnd w:id="42"/>
      <w:bookmarkEnd w:id="43"/>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LR2392,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for a Variance Rate in the Amount and Potency of Cannabinoids in Adult Use Edible Marijuana Products</w:t>
    </w:r>
  </w:p>
  <w:p>
    <w:pPr>
      <w:suppressLineNumbers/>
      <w:spacing w:before="0" w:after="0"/>
      <w:jc w:val="center"/>
      <w:rPr>
        <w:rFonts w:ascii="Arial" w:eastAsia="Arial" w:hAnsi="Arial" w:cs="Arial"/>
      </w:rPr>
    </w:pPr>
    <w:r>
      <w:rPr>
        <w:rFonts w:ascii="Arial" w:eastAsia="Arial" w:hAnsi="Arial" w:cs="Arial"/>
        <w:sz w:val="22"/>
      </w:rPr>
      <w:t>L.D. 1846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BF20ED"/>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E4CE9"/>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