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Municipal Public Hearings on Citizen-initiated Municipal Referenda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1141 - L.D. 1536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Regarding Municipal Public Hearings on Citizen-initiated Municipal Referenda</w:t>
      </w:r>
    </w:p>
    <w:p w:rsidR="00413F85" w:rsidP="00413F85">
      <w:pPr>
        <w:ind w:left="360"/>
        <w:rPr>
          <w:rFonts w:ascii="Arial" w:eastAsia="Arial" w:hAnsi="Arial" w:cs="Arial"/>
        </w:rPr>
      </w:pPr>
      <w:bookmarkStart w:id="0" w:name="_ENACTING_CLAUSE__271fd055_ae3e_4682_b6e"/>
      <w:bookmarkStart w:id="1" w:name="_PAR__1_c0894df9_170b_43ec_b63c_3731f131"/>
      <w:bookmarkStart w:id="2" w:name="_DOC_BODY_CONTAINER__9936839c_19e6_4451_"/>
      <w:r>
        <w:rPr>
          <w:rFonts w:ascii="Arial" w:eastAsia="Arial" w:hAnsi="Arial" w:cs="Arial"/>
          <w:b/>
        </w:rPr>
        <w:t>Be it enacted by the People of the State of Maine as follows:</w:t>
      </w:r>
    </w:p>
    <w:p w:rsidR="00413F85" w:rsidP="00413F85">
      <w:pPr>
        <w:ind w:left="360" w:firstLine="360"/>
        <w:rPr>
          <w:rFonts w:ascii="Arial" w:eastAsia="Arial" w:hAnsi="Arial" w:cs="Arial"/>
        </w:rPr>
      </w:pPr>
      <w:bookmarkStart w:id="3" w:name="_BILL_SECTION_HEADER__2736f09e_f987_4e92"/>
      <w:bookmarkStart w:id="4" w:name="_BILL_SECTION__55150a74_faa6_4248_8de8_6"/>
      <w:bookmarkStart w:id="5" w:name="_INSTRUCTION__394cec5e_4a2a_4448_8efb_5c"/>
      <w:bookmarkStart w:id="6" w:name="_DOC_BODY_CONTENT__6a9922c0_a9d4_4ee7_b7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7060f733_3df9_4fc8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30-A MRSA §2528, sub-§5,</w:t>
      </w:r>
      <w:r>
        <w:rPr>
          <w:rFonts w:ascii="Arial" w:eastAsia="Arial" w:hAnsi="Arial" w:cs="Arial"/>
        </w:rPr>
        <w:t xml:space="preserve"> as amended by PL 2003, c. 569, §2, is further amended by amending the first blocked paragraph to read:</w:t>
      </w:r>
    </w:p>
    <w:p w:rsidR="00000000" w:rsidP="00413F85">
      <w:pPr>
        <w:ind w:left="360"/>
        <w:rPr>
          <w:rFonts w:ascii="Arial" w:eastAsia="Arial" w:hAnsi="Arial" w:cs="Arial"/>
        </w:rPr>
      </w:pPr>
      <w:bookmarkStart w:id="8" w:name="_STATUTE_CONTENT__552f652e_53d5_45f2_80a"/>
      <w:bookmarkStart w:id="9" w:name="_STATUTE_P__2de2571a_271e_49d1_9984_196c"/>
      <w:bookmarkEnd w:id="3"/>
      <w:r>
        <w:rPr>
          <w:rFonts w:ascii="Arial" w:eastAsia="Arial" w:hAnsi="Arial" w:cs="Arial"/>
        </w:rPr>
        <w:t xml:space="preserve">The municipal officers shall hold a public hearing on the subject of the article at least 10 days before the day for voting on the article.  </w:t>
      </w:r>
      <w:bookmarkStart w:id="10" w:name="_REV__9b182d07_23bd_45f7_a4c3_0949874dfc"/>
      <w:bookmarkStart w:id="11" w:name="_PROCESSED_CHANGE__757d2eea_4c8f_429c_be"/>
      <w:bookmarkStart w:id="12" w:name="_PROCESSED_CHANGE__82356020_2437_467c_b0"/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public hearing </w:t>
      </w:r>
      <w:r>
        <w:rPr>
          <w:rFonts w:ascii="Arial" w:eastAsia="Arial" w:hAnsi="Arial" w:cs="Arial"/>
          <w:u w:val="single"/>
        </w:rPr>
        <w:t>m</w:t>
      </w:r>
      <w:r>
        <w:rPr>
          <w:rFonts w:ascii="Arial" w:eastAsia="Arial" w:hAnsi="Arial" w:cs="Arial"/>
          <w:u w:val="single"/>
        </w:rPr>
        <w:t>ust be held in a manner that solicits and allows for a discussion on the merits of the article.</w:t>
      </w:r>
      <w:r w:rsidRPr="00E82939">
        <w:rPr>
          <w:rFonts w:ascii="Arial" w:eastAsia="Arial" w:hAnsi="Arial" w:cs="Arial"/>
        </w:rPr>
        <w:t xml:space="preserve">  </w:t>
      </w:r>
      <w:bookmarkEnd w:id="10"/>
      <w:bookmarkEnd w:id="11"/>
      <w:bookmarkEnd w:id="12"/>
      <w:r>
        <w:rPr>
          <w:rFonts w:ascii="Arial" w:eastAsia="Arial" w:hAnsi="Arial" w:cs="Arial"/>
        </w:rPr>
        <w:t>At least 7 days before the date set for the hearing, the municipal officers shall give notice of the public hearing by having a copy of the proposed article, together with the time and place of hearing, posted in the same manner required for posting a warrant for a town meeting under section 2523.  The municipal officers shall make a return on the original notice stating the manner of notice and the time it was given.</w:t>
      </w:r>
      <w:bookmarkEnd w:id="8"/>
      <w:bookmarkEnd w:id="2"/>
      <w:bookmarkEnd w:id="4"/>
      <w:bookmarkEnd w:id="5"/>
      <w:bookmarkEnd w:id="6"/>
      <w:bookmarkEnd w:id="9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LR0987,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Municipal Public Hearings on Citizen-initiated Municipal Referenda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1536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3F85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82939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