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the Review of Law Enforcement Use of Deadly Force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1095 - L.D. 1480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Regarding the Review of Law Enforcement Use of Deadly Force</w:t>
      </w:r>
    </w:p>
    <w:p w:rsidR="00E34928" w:rsidP="00E34928">
      <w:pPr>
        <w:ind w:left="360"/>
        <w:rPr>
          <w:rFonts w:ascii="Arial" w:eastAsia="Arial" w:hAnsi="Arial" w:cs="Arial"/>
        </w:rPr>
      </w:pPr>
      <w:bookmarkStart w:id="0" w:name="_ENACTING_CLAUSE__b62b467d_aa17_407b_bc0"/>
      <w:bookmarkStart w:id="1" w:name="_PAR__1_13ec478d_3d44_452a_b4e8_a5c03598"/>
      <w:bookmarkStart w:id="2" w:name="_DOC_BODY_CONTAINER__9110ee5d_87e1_4d4a_"/>
      <w:r>
        <w:rPr>
          <w:rFonts w:ascii="Arial" w:eastAsia="Arial" w:hAnsi="Arial" w:cs="Arial"/>
          <w:b/>
        </w:rPr>
        <w:t>Be it enacted by the People of the State of Maine as follows:</w:t>
      </w:r>
    </w:p>
    <w:p w:rsidR="00E34928" w:rsidP="00E34928">
      <w:pPr>
        <w:ind w:left="360" w:firstLine="360"/>
        <w:rPr>
          <w:rFonts w:ascii="Arial" w:eastAsia="Arial" w:hAnsi="Arial" w:cs="Arial"/>
        </w:rPr>
      </w:pPr>
      <w:bookmarkStart w:id="3" w:name="_BILL_SECTION_HEADER__04eb55ea_736a_4910"/>
      <w:bookmarkStart w:id="4" w:name="_PAR__2_bbd642a9_0936_4290_919a_89fd206b"/>
      <w:bookmarkStart w:id="5" w:name="_BILL_SECTION__59fa1a9f_fb22_45cc_8253_0"/>
      <w:bookmarkStart w:id="6" w:name="_DOC_BODY_CONTENT__7ca6cfed_2f42_44f7_b2"/>
      <w:bookmarkEnd w:id="0"/>
      <w:bookmarkEnd w:id="1"/>
      <w:r>
        <w:rPr>
          <w:rFonts w:ascii="Arial" w:eastAsia="Arial" w:hAnsi="Arial" w:cs="Arial"/>
          <w:b/>
          <w:sz w:val="24"/>
        </w:rPr>
        <w:t xml:space="preserve">Sec. </w:t>
      </w:r>
      <w:bookmarkStart w:id="7" w:name="_BILL_SECTION_NUMBER__1712449b_ce6b_47d6"/>
      <w:r>
        <w:rPr>
          <w:rFonts w:ascii="Arial" w:eastAsia="Arial" w:hAnsi="Arial" w:cs="Arial"/>
          <w:b/>
          <w:sz w:val="24"/>
        </w:rPr>
        <w:t>1</w:t>
      </w:r>
      <w:bookmarkEnd w:id="7"/>
      <w:r>
        <w:rPr>
          <w:rFonts w:ascii="Arial" w:eastAsia="Arial" w:hAnsi="Arial" w:cs="Arial"/>
          <w:b/>
          <w:sz w:val="24"/>
        </w:rPr>
        <w:t>.  5 MRSA §200-K, sub-§8</w:t>
      </w:r>
      <w:r>
        <w:rPr>
          <w:rFonts w:ascii="Arial" w:eastAsia="Arial" w:hAnsi="Arial" w:cs="Arial"/>
        </w:rPr>
        <w:t xml:space="preserve"> is enacted to read:</w:t>
      </w:r>
    </w:p>
    <w:p w:rsidR="00E34928" w:rsidP="00E34928">
      <w:pPr>
        <w:ind w:left="360" w:firstLine="360"/>
        <w:rPr>
          <w:rFonts w:ascii="Arial" w:eastAsia="Arial" w:hAnsi="Arial" w:cs="Arial"/>
        </w:rPr>
      </w:pPr>
      <w:bookmarkStart w:id="8" w:name="_STATUTE_NUMBER__22066864_6f83_4175_974e"/>
      <w:bookmarkStart w:id="9" w:name="_STATUTE_SS__dccd9762_9b34_42c4_b47c_620"/>
      <w:bookmarkStart w:id="10" w:name="_PAR__3_42185ee8_3a1d_4fad_bc68_7bdc0b2e"/>
      <w:bookmarkEnd w:id="3"/>
      <w:bookmarkEnd w:id="4"/>
      <w:r>
        <w:rPr>
          <w:rFonts w:ascii="Arial" w:eastAsia="Arial" w:hAnsi="Arial" w:cs="Arial"/>
          <w:b/>
          <w:u w:val="single"/>
        </w:rPr>
        <w:t>8</w:t>
      </w:r>
      <w:bookmarkEnd w:id="8"/>
      <w:r>
        <w:rPr>
          <w:rFonts w:ascii="Arial" w:eastAsia="Arial" w:hAnsi="Arial" w:cs="Arial"/>
          <w:b/>
          <w:u w:val="single"/>
        </w:rPr>
        <w:t xml:space="preserve">.  </w:t>
      </w:r>
      <w:bookmarkStart w:id="11" w:name="_STATUTE_HEADNOTE__bfd70265_7fd6_462a_ae"/>
      <w:r>
        <w:rPr>
          <w:rFonts w:ascii="Arial" w:eastAsia="Arial" w:hAnsi="Arial" w:cs="Arial"/>
          <w:b/>
          <w:u w:val="single"/>
        </w:rPr>
        <w:t xml:space="preserve">Attorney General's investigation. </w:t>
      </w:r>
      <w:r>
        <w:rPr>
          <w:rFonts w:ascii="Arial" w:eastAsia="Arial" w:hAnsi="Arial" w:cs="Arial"/>
          <w:u w:val="single"/>
        </w:rPr>
        <w:t xml:space="preserve"> </w:t>
      </w:r>
      <w:bookmarkStart w:id="12" w:name="_STATUTE_CONTENT__61176d62_d65b_4172_80d"/>
      <w:bookmarkEnd w:id="11"/>
      <w:r>
        <w:rPr>
          <w:rFonts w:ascii="Arial" w:eastAsia="Arial" w:hAnsi="Arial" w:cs="Arial"/>
          <w:u w:val="single"/>
        </w:rPr>
        <w:t xml:space="preserve">The Attorney General shall complete an investigation of and submit to the panel the findings regarding the use of deadly force pursuant to section 200-A within 180 days of receiving notice of the use of deadly force by a law enforcement officer. </w:t>
      </w:r>
      <w:r>
        <w:rPr>
          <w:rFonts w:ascii="Arial" w:eastAsia="Arial" w:hAnsi="Arial" w:cs="Arial"/>
          <w:u w:val="single"/>
        </w:rPr>
        <w:t xml:space="preserve"> </w:t>
      </w:r>
      <w:r>
        <w:rPr>
          <w:rFonts w:ascii="Arial" w:eastAsia="Arial" w:hAnsi="Arial" w:cs="Arial"/>
          <w:u w:val="single"/>
        </w:rPr>
        <w:t xml:space="preserve">If the Attorney General is unable to complete the investigation and submit the findings within 180 days, the Attorney General shall notify the panel prior to the expiration of </w:t>
      </w:r>
      <w:r>
        <w:rPr>
          <w:rFonts w:ascii="Arial" w:eastAsia="Arial" w:hAnsi="Arial" w:cs="Arial"/>
          <w:u w:val="single"/>
        </w:rPr>
        <w:t xml:space="preserve">the </w:t>
      </w:r>
      <w:r>
        <w:rPr>
          <w:rFonts w:ascii="Arial" w:eastAsia="Arial" w:hAnsi="Arial" w:cs="Arial"/>
          <w:u w:val="single"/>
        </w:rPr>
        <w:t>180</w:t>
      </w:r>
      <w:r>
        <w:rPr>
          <w:rFonts w:ascii="Arial" w:eastAsia="Arial" w:hAnsi="Arial" w:cs="Arial"/>
          <w:u w:val="single"/>
        </w:rPr>
        <w:t>-</w:t>
      </w:r>
      <w:r>
        <w:rPr>
          <w:rFonts w:ascii="Arial" w:eastAsia="Arial" w:hAnsi="Arial" w:cs="Arial"/>
          <w:u w:val="single"/>
        </w:rPr>
        <w:t>day</w:t>
      </w:r>
      <w:r>
        <w:rPr>
          <w:rFonts w:ascii="Arial" w:eastAsia="Arial" w:hAnsi="Arial" w:cs="Arial"/>
          <w:u w:val="single"/>
        </w:rPr>
        <w:t xml:space="preserve"> period</w:t>
      </w:r>
      <w:r>
        <w:rPr>
          <w:rFonts w:ascii="Arial" w:eastAsia="Arial" w:hAnsi="Arial" w:cs="Arial"/>
          <w:u w:val="single"/>
        </w:rPr>
        <w:t>.  The Attorney General's notice to the panel under this subsection must provide a summary of the investigation up to the date of the notice, identify the reason for the delay and provide an anticipated conclusion date for the investigation and findings</w:t>
      </w:r>
      <w:r>
        <w:rPr>
          <w:rFonts w:ascii="Arial" w:eastAsia="Arial" w:hAnsi="Arial" w:cs="Arial"/>
          <w:u w:val="single"/>
        </w:rPr>
        <w:t xml:space="preserve">, which </w:t>
      </w:r>
      <w:r>
        <w:rPr>
          <w:rFonts w:ascii="Arial" w:eastAsia="Arial" w:hAnsi="Arial" w:cs="Arial"/>
          <w:u w:val="single"/>
        </w:rPr>
        <w:t>may not exceed 270 days from receiving notice of the use of deadly force.</w:t>
      </w:r>
    </w:p>
    <w:p w:rsidR="00E34928" w:rsidP="00E34928">
      <w:pPr>
        <w:ind w:left="360" w:firstLine="360"/>
        <w:rPr>
          <w:rFonts w:ascii="Arial" w:eastAsia="Arial" w:hAnsi="Arial" w:cs="Arial"/>
        </w:rPr>
      </w:pPr>
      <w:bookmarkStart w:id="13" w:name="_BILL_SECTION_HEADER__2e475871_4275_40e5"/>
      <w:bookmarkStart w:id="14" w:name="_BILL_SECTION__f4f67b24_9891_48b2_9beb_b"/>
      <w:bookmarkStart w:id="15" w:name="_INSTRUCTION__4dbc5629_1d46_4083_baa9_4b"/>
      <w:bookmarkEnd w:id="5"/>
      <w:bookmarkEnd w:id="9"/>
      <w:bookmarkEnd w:id="10"/>
      <w:bookmarkEnd w:id="12"/>
      <w:r>
        <w:rPr>
          <w:rFonts w:ascii="Arial" w:eastAsia="Arial" w:hAnsi="Arial" w:cs="Arial"/>
          <w:b/>
          <w:sz w:val="24"/>
        </w:rPr>
        <w:t xml:space="preserve">Sec. </w:t>
      </w:r>
      <w:bookmarkStart w:id="16" w:name="_BILL_SECTION_NUMBER__e1308af4_1c3b_4adc"/>
      <w:r>
        <w:rPr>
          <w:rFonts w:ascii="Arial" w:eastAsia="Arial" w:hAnsi="Arial" w:cs="Arial"/>
          <w:b/>
          <w:sz w:val="24"/>
        </w:rPr>
        <w:t>2</w:t>
      </w:r>
      <w:bookmarkEnd w:id="16"/>
      <w:r>
        <w:rPr>
          <w:rFonts w:ascii="Arial" w:eastAsia="Arial" w:hAnsi="Arial" w:cs="Arial"/>
          <w:b/>
          <w:sz w:val="24"/>
        </w:rPr>
        <w:t>.  16 MRSA §806-A</w:t>
      </w:r>
      <w:r>
        <w:rPr>
          <w:rFonts w:ascii="Arial" w:eastAsia="Arial" w:hAnsi="Arial" w:cs="Arial"/>
        </w:rPr>
        <w:t xml:space="preserve"> is enacted to read:</w:t>
      </w:r>
    </w:p>
    <w:p w:rsidR="00E34928" w:rsidP="00E34928">
      <w:pPr>
        <w:ind w:left="1080" w:hanging="720"/>
        <w:rPr>
          <w:rFonts w:ascii="Arial" w:eastAsia="Arial" w:hAnsi="Arial" w:cs="Arial"/>
        </w:rPr>
      </w:pPr>
      <w:bookmarkStart w:id="17" w:name="_REV__65df9fef_ad9d_4714_bd0c_3b4a836568"/>
      <w:bookmarkStart w:id="18" w:name="_PROCESSED_CHANGE__09e008b9_1507_4edc_93"/>
      <w:bookmarkStart w:id="19" w:name="_PROCESSED_CHANGE__e2aa6902_a8e5_4bd5_90"/>
      <w:bookmarkStart w:id="20" w:name="_STATUTE_S__dcdb75e5_13f1_4274_bd41_0a0c"/>
      <w:bookmarkEnd w:id="13"/>
      <w:r>
        <w:rPr>
          <w:rFonts w:ascii="Arial" w:eastAsia="Arial" w:hAnsi="Arial" w:cs="Arial"/>
          <w:b/>
          <w:u w:val="single"/>
        </w:rPr>
        <w:t>§</w:t>
      </w:r>
      <w:bookmarkStart w:id="21" w:name="_STATUTE_NUMBER__377c888c_8407_427d_bba6"/>
      <w:r>
        <w:rPr>
          <w:rFonts w:ascii="Arial" w:eastAsia="Arial" w:hAnsi="Arial" w:cs="Arial"/>
          <w:b/>
          <w:u w:val="single"/>
        </w:rPr>
        <w:t>806-A</w:t>
      </w:r>
      <w:bookmarkEnd w:id="21"/>
      <w:r>
        <w:rPr>
          <w:rFonts w:ascii="Arial" w:eastAsia="Arial" w:hAnsi="Arial" w:cs="Arial"/>
          <w:b/>
          <w:u w:val="single"/>
        </w:rPr>
        <w:t xml:space="preserve">.  </w:t>
      </w:r>
      <w:bookmarkStart w:id="22" w:name="_STATUTE_HEADNOTE__f15500c8_6fc7_48e6_ae"/>
      <w:r>
        <w:rPr>
          <w:rFonts w:ascii="Arial" w:eastAsia="Arial" w:hAnsi="Arial" w:cs="Arial"/>
          <w:b/>
          <w:u w:val="single"/>
        </w:rPr>
        <w:t>Video depicting use of deadly force</w:t>
      </w:r>
      <w:bookmarkEnd w:id="22"/>
    </w:p>
    <w:p w:rsidR="00000000" w:rsidP="00E34928">
      <w:pPr>
        <w:ind w:left="360" w:firstLine="360"/>
        <w:rPr>
          <w:rFonts w:ascii="Arial" w:eastAsia="Arial" w:hAnsi="Arial" w:cs="Arial"/>
        </w:rPr>
      </w:pPr>
      <w:bookmarkStart w:id="23" w:name="_REV__e7d15b4c_756e_4d0c_80bb_7454e06050"/>
      <w:bookmarkStart w:id="24" w:name="_STATUTE_CONTENT__9c8ffdfa_0234_4b8c_bfe"/>
      <w:bookmarkStart w:id="25" w:name="_STATUTE_P__d4fdf998_d433_4f51_a02f_740f"/>
      <w:bookmarkEnd w:id="17"/>
      <w:r>
        <w:rPr>
          <w:rFonts w:ascii="Arial" w:eastAsia="Arial" w:hAnsi="Arial" w:cs="Arial"/>
          <w:u w:val="single"/>
        </w:rPr>
        <w:t>This chapter does not preclude the public dissemination of that portion of a video in the custody of the Attorney General depicting the use of deadly force by law enforcement when the public interest in the evaluation of the use of deadly force by law enforcement and the review and investigation of those incidents by the Attorney General outweighs the harms contemplated in section 804.  Upon receiving a request for video depicting the use of deadly force, the Attorney General shall issue a decision on whether to release the video no later than 30 days after the request and, in the event of denial, shall provide written notice stating in detail the basis for the denial, a time</w:t>
      </w:r>
      <w:r>
        <w:rPr>
          <w:rFonts w:ascii="Arial" w:eastAsia="Arial" w:hAnsi="Arial" w:cs="Arial"/>
          <w:u w:val="single"/>
        </w:rPr>
        <w:t xml:space="preserve"> </w:t>
      </w:r>
      <w:r>
        <w:rPr>
          <w:rFonts w:ascii="Arial" w:eastAsia="Arial" w:hAnsi="Arial" w:cs="Arial"/>
          <w:u w:val="single"/>
        </w:rPr>
        <w:t>frame for release of all or part of the video and the process to appeal the decision pursuant to Title 1, section 409.</w:t>
      </w:r>
      <w:bookmarkEnd w:id="2"/>
      <w:bookmarkEnd w:id="6"/>
      <w:bookmarkEnd w:id="14"/>
      <w:bookmarkEnd w:id="15"/>
      <w:bookmarkEnd w:id="18"/>
      <w:bookmarkEnd w:id="19"/>
      <w:bookmarkEnd w:id="20"/>
      <w:bookmarkEnd w:id="23"/>
      <w:bookmarkEnd w:id="24"/>
      <w:bookmarkEnd w:id="2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LR1574,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Regarding the Review of Law Enforcement Use of Deadly Force</w:t>
    </w:r>
  </w:p>
  <w:p>
    <w:pPr>
      <w:suppressLineNumbers/>
      <w:spacing w:before="0" w:after="0"/>
      <w:jc w:val="center"/>
      <w:rPr>
        <w:rFonts w:ascii="Arial" w:eastAsia="Arial" w:hAnsi="Arial" w:cs="Arial"/>
      </w:rPr>
    </w:pPr>
    <w:r>
      <w:rPr>
        <w:rFonts w:ascii="Arial" w:eastAsia="Arial" w:hAnsi="Arial" w:cs="Arial"/>
        <w:sz w:val="22"/>
      </w:rPr>
      <w:t>L.D. 1480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4928"/>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