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All-terrain Vehicle Trail Improvement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1084 - L.D. 1468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All-terrain Vehicle Trail Improvement</w:t>
      </w:r>
    </w:p>
    <w:p w:rsidR="00727810" w:rsidP="00727810">
      <w:pPr>
        <w:ind w:left="360"/>
        <w:rPr>
          <w:rFonts w:ascii="Arial" w:eastAsia="Arial" w:hAnsi="Arial" w:cs="Arial"/>
        </w:rPr>
      </w:pPr>
      <w:bookmarkStart w:id="0" w:name="_ENACTING_CLAUSE__afff37e2_ce0d_4443_83b"/>
      <w:bookmarkStart w:id="1" w:name="_PAR__1_474932b1_8939_41cd_b72a_c21bcb02"/>
      <w:bookmarkStart w:id="2" w:name="_DOC_BODY_CONTAINER__c62e63a2_46a4_47c8_"/>
      <w:r>
        <w:rPr>
          <w:rFonts w:ascii="Arial" w:eastAsia="Arial" w:hAnsi="Arial" w:cs="Arial"/>
          <w:b/>
        </w:rPr>
        <w:t>Be it enacted by the People of the State of Maine as follows:</w:t>
      </w:r>
    </w:p>
    <w:p w:rsidR="00727810" w:rsidP="00727810">
      <w:pPr>
        <w:ind w:left="360" w:firstLine="360"/>
        <w:rPr>
          <w:rFonts w:ascii="Arial" w:eastAsia="Arial" w:hAnsi="Arial" w:cs="Arial"/>
        </w:rPr>
      </w:pPr>
      <w:bookmarkStart w:id="3" w:name="_BILL_SECTION_HEADER__3abbfb3e_01ac_4962"/>
      <w:bookmarkStart w:id="4" w:name="_BILL_SECTION__5260536e_e5e7_4c80_a06c_3"/>
      <w:bookmarkStart w:id="5" w:name="_INSTRUCTION__9686740e_2bb6_4da6_8dd4_6f"/>
      <w:bookmarkStart w:id="6" w:name="_DOC_BODY_CONTENT__2df77adc_8e1f_4b85_b9"/>
      <w:bookmarkEnd w:id="0"/>
      <w:bookmarkEnd w:id="1"/>
      <w:r>
        <w:rPr>
          <w:rFonts w:ascii="Arial" w:eastAsia="Arial" w:hAnsi="Arial" w:cs="Arial"/>
          <w:b/>
          <w:sz w:val="24"/>
        </w:rPr>
        <w:t xml:space="preserve">Sec. </w:t>
      </w:r>
      <w:bookmarkStart w:id="7" w:name="_BILL_SECTION_NUMBER__dad72c05_d117_451b"/>
      <w:r>
        <w:rPr>
          <w:rFonts w:ascii="Arial" w:eastAsia="Arial" w:hAnsi="Arial" w:cs="Arial"/>
          <w:b/>
          <w:sz w:val="24"/>
        </w:rPr>
        <w:t>1</w:t>
      </w:r>
      <w:bookmarkEnd w:id="7"/>
      <w:r>
        <w:rPr>
          <w:rFonts w:ascii="Arial" w:eastAsia="Arial" w:hAnsi="Arial" w:cs="Arial"/>
          <w:b/>
          <w:sz w:val="24"/>
        </w:rPr>
        <w:t>.  23 MRSA §4210-B, sub-§7-A,</w:t>
      </w:r>
      <w:r>
        <w:rPr>
          <w:rFonts w:ascii="Arial" w:eastAsia="Arial" w:hAnsi="Arial" w:cs="Arial"/>
        </w:rPr>
        <w:t xml:space="preserve"> as amended by PL 2017, c. 375, Pt. E, §1, is further amended to read:</w:t>
      </w:r>
    </w:p>
    <w:p w:rsidR="00727810" w:rsidP="00727810">
      <w:pPr>
        <w:ind w:left="360" w:firstLine="360"/>
        <w:rPr>
          <w:rFonts w:ascii="Arial" w:eastAsia="Arial" w:hAnsi="Arial" w:cs="Arial"/>
        </w:rPr>
      </w:pPr>
      <w:bookmarkStart w:id="8" w:name="_STATUTE_NUMBER__cbc0ccf5_c879_400f_bbf5"/>
      <w:bookmarkStart w:id="9" w:name="_STATUTE_SS__80662320_54fd_4631_86d1_196"/>
      <w:bookmarkEnd w:id="3"/>
      <w:r>
        <w:rPr>
          <w:rFonts w:ascii="Arial" w:eastAsia="Arial" w:hAnsi="Arial" w:cs="Arial"/>
          <w:b/>
        </w:rPr>
        <w:t>7-A</w:t>
      </w:r>
      <w:bookmarkEnd w:id="8"/>
      <w:r>
        <w:rPr>
          <w:rFonts w:ascii="Arial" w:eastAsia="Arial" w:hAnsi="Arial" w:cs="Arial"/>
          <w:b/>
        </w:rPr>
        <w:t xml:space="preserve">.  </w:t>
      </w:r>
      <w:bookmarkStart w:id="10" w:name="_STATUTE_HEADNOTE__ec515bed_e9f3_49ee_b7"/>
      <w:r>
        <w:rPr>
          <w:rFonts w:ascii="Arial" w:eastAsia="Arial" w:hAnsi="Arial" w:cs="Arial"/>
          <w:b/>
        </w:rPr>
        <w:t>Sales tax revenue.</w:t>
      </w:r>
      <w:bookmarkEnd w:id="10"/>
      <w:r>
        <w:rPr>
          <w:rFonts w:ascii="Arial" w:eastAsia="Arial" w:hAnsi="Arial" w:cs="Arial"/>
          <w:b/>
        </w:rPr>
        <w:t xml:space="preserve"> </w:t>
      </w:r>
      <w:r>
        <w:rPr>
          <w:rFonts w:ascii="Arial" w:eastAsia="Arial" w:hAnsi="Arial" w:cs="Arial"/>
        </w:rPr>
        <w:t xml:space="preserve"> </w:t>
      </w:r>
      <w:bookmarkStart w:id="11" w:name="_STATUTE_CONTENT__a376e586_01b6_417f_b4b"/>
      <w:r>
        <w:rPr>
          <w:rFonts w:ascii="Arial" w:eastAsia="Arial" w:hAnsi="Arial" w:cs="Arial"/>
        </w:rPr>
        <w:t>Beginning July 1, 2012 and every July 1st thereafter,</w:t>
      </w:r>
      <w:bookmarkStart w:id="12" w:name="_REV__03cd019a_f3ef_4411_8ca0_fa9ec5514d"/>
      <w:bookmarkStart w:id="13" w:name="_PROCESSED_CHANGE__a928ff26_5ec8_4c89_82"/>
      <w:bookmarkStart w:id="14" w:name="_PROCESSED_CHANGE__f1f4eb73_4ea7_49ca_81"/>
      <w:bookmarkStart w:id="15" w:name="_PROCESSED_CHANGE__10ef9fa0_ba28_4df1_bc"/>
      <w:bookmarkStart w:id="16" w:name="_PROCESSED_CHANGE__c5d1a89c_3ad9_47d1_91"/>
      <w:bookmarkStart w:id="17" w:name="_PROCESSED_CHANGE__e1693f26_f553_499b_96"/>
      <w:r w:rsidRPr="00084E3B">
        <w:rPr>
          <w:rFonts w:ascii="Arial" w:eastAsia="Arial" w:hAnsi="Arial" w:cs="Arial"/>
        </w:rPr>
        <w:t xml:space="preserve"> </w:t>
      </w:r>
      <w:r>
        <w:rPr>
          <w:rFonts w:ascii="Arial" w:eastAsia="Arial" w:hAnsi="Arial" w:cs="Arial"/>
          <w:u w:val="single"/>
        </w:rPr>
        <w:t>except as provided in Title 36, section 1820,</w:t>
      </w:r>
      <w:bookmarkEnd w:id="12"/>
      <w:bookmarkEnd w:id="13"/>
      <w:bookmarkEnd w:id="14"/>
      <w:bookmarkEnd w:id="15"/>
      <w:bookmarkEnd w:id="16"/>
      <w:bookmarkEnd w:id="17"/>
      <w:r>
        <w:rPr>
          <w:rFonts w:ascii="Arial" w:eastAsia="Arial" w:hAnsi="Arial" w:cs="Arial"/>
        </w:rPr>
        <w:t xml:space="preserve"> the State Controller shall transfer to the Multimodal Transportation Fund an amount, as certified by the State Tax Assessor, that is equivalent to 100% of the revenue from the tax imposed on the value of rental of a pickup truck or van with a gross weight of less than 26,000 pounds rented from a person primarily engaged in the business of renting automobiles and the value of rental for a period of less than one year of an automobile pursuant to </w:t>
      </w:r>
      <w:bookmarkStart w:id="18" w:name="_CROSS_REFERENCE__a0abbcff_e04e_48f8_bb0"/>
      <w:r>
        <w:rPr>
          <w:rFonts w:ascii="Arial" w:eastAsia="Arial" w:hAnsi="Arial" w:cs="Arial"/>
        </w:rPr>
        <w:t>Title 36, section 1811</w:t>
      </w:r>
      <w:bookmarkEnd w:id="18"/>
      <w:r>
        <w:rPr>
          <w:rFonts w:ascii="Arial" w:eastAsia="Arial" w:hAnsi="Arial" w:cs="Arial"/>
        </w:rPr>
        <w:t xml:space="preserve"> for the first 6 months of the prior fiscal year after the reduction for the transfer to the Local Government Fund as described by </w:t>
      </w:r>
      <w:bookmarkStart w:id="19" w:name="_CROSS_REFERENCE__db001027_8296_4f0a_807"/>
      <w:r>
        <w:rPr>
          <w:rFonts w:ascii="Arial" w:eastAsia="Arial" w:hAnsi="Arial" w:cs="Arial"/>
        </w:rPr>
        <w:t>Title 30‑A, section 5681, subsection 5</w:t>
      </w:r>
      <w:bookmarkEnd w:id="19"/>
      <w:r>
        <w:rPr>
          <w:rFonts w:ascii="Arial" w:eastAsia="Arial" w:hAnsi="Arial" w:cs="Arial"/>
        </w:rPr>
        <w:t xml:space="preserve">.  Beginning on October 1, 2012 and every October 1st thereafter, </w:t>
      </w:r>
      <w:bookmarkStart w:id="20" w:name="_REV__50a84160_c4bc_41d3_992a_f7dddbd74a"/>
      <w:bookmarkStart w:id="21" w:name="_PROCESSED_CHANGE__57752380_eb79_49cd_92"/>
      <w:bookmarkStart w:id="22" w:name="_PROCESSED_CHANGE__14d732eb_a3b8_498e_8e"/>
      <w:r>
        <w:rPr>
          <w:rFonts w:ascii="Arial" w:eastAsia="Arial" w:hAnsi="Arial" w:cs="Arial"/>
          <w:u w:val="single"/>
        </w:rPr>
        <w:t>except as provided in Title 36, section 1820,</w:t>
      </w:r>
      <w:r w:rsidRPr="00CC4AF8">
        <w:rPr>
          <w:rFonts w:ascii="Arial" w:eastAsia="Arial" w:hAnsi="Arial" w:cs="Arial"/>
        </w:rPr>
        <w:t xml:space="preserve"> </w:t>
      </w:r>
      <w:bookmarkEnd w:id="20"/>
      <w:bookmarkEnd w:id="21"/>
      <w:bookmarkEnd w:id="22"/>
      <w:r>
        <w:rPr>
          <w:rFonts w:ascii="Arial" w:eastAsia="Arial" w:hAnsi="Arial" w:cs="Arial"/>
        </w:rPr>
        <w:t xml:space="preserve">the State Controller shall transfer to the Multimodal Transportation Fund an amount, as certified by the State Tax Assessor, that is equivalent to 100% of the revenue from the tax imposed on the value of rental of a pickup truck or van with a gross weight of less than 26,000 pounds rented from a person primarily engaged in the business of renting automobiles and the value of rental for a period of less than one year of an automobile pursuant to </w:t>
      </w:r>
      <w:bookmarkStart w:id="23" w:name="_CROSS_REFERENCE__ec9f6728_d7ae_4da2_b47"/>
      <w:r>
        <w:rPr>
          <w:rFonts w:ascii="Arial" w:eastAsia="Arial" w:hAnsi="Arial" w:cs="Arial"/>
        </w:rPr>
        <w:t>Title 36, section 1811</w:t>
      </w:r>
      <w:bookmarkEnd w:id="23"/>
      <w:r>
        <w:rPr>
          <w:rFonts w:ascii="Arial" w:eastAsia="Arial" w:hAnsi="Arial" w:cs="Arial"/>
        </w:rPr>
        <w:t xml:space="preserve"> for the last 6 months of the prior fiscal year after the reduction for the transfer to the Local Government Fund as described by </w:t>
      </w:r>
      <w:bookmarkStart w:id="24" w:name="_CROSS_REFERENCE__8202c67e_c9b5_4b5b_b1c"/>
      <w:r>
        <w:rPr>
          <w:rFonts w:ascii="Arial" w:eastAsia="Arial" w:hAnsi="Arial" w:cs="Arial"/>
        </w:rPr>
        <w:t>Title 30‑A, section 5681, subsection 5</w:t>
      </w:r>
      <w:bookmarkEnd w:id="24"/>
      <w:r>
        <w:rPr>
          <w:rFonts w:ascii="Arial" w:eastAsia="Arial" w:hAnsi="Arial" w:cs="Arial"/>
        </w:rPr>
        <w:t>.  The tax amount must be based on actual sales for that fiscal year and may not consider any accruals that may be required by law.</w:t>
      </w:r>
      <w:bookmarkEnd w:id="11"/>
    </w:p>
    <w:p w:rsidR="00727810" w:rsidP="00727810">
      <w:pPr>
        <w:ind w:left="360" w:firstLine="360"/>
        <w:rPr>
          <w:rFonts w:ascii="Arial" w:eastAsia="Arial" w:hAnsi="Arial" w:cs="Arial"/>
        </w:rPr>
      </w:pPr>
      <w:bookmarkStart w:id="25" w:name="_BILL_SECTION_HEADER__206803df_6f30_4bb8"/>
      <w:bookmarkStart w:id="26" w:name="_BILL_SECTION__9e239e0f_17ae_4f01_a3ab_c"/>
      <w:bookmarkEnd w:id="4"/>
      <w:bookmarkEnd w:id="9"/>
      <w:r>
        <w:rPr>
          <w:rFonts w:ascii="Arial" w:eastAsia="Arial" w:hAnsi="Arial" w:cs="Arial"/>
          <w:b/>
          <w:sz w:val="24"/>
        </w:rPr>
        <w:t xml:space="preserve">Sec. </w:t>
      </w:r>
      <w:bookmarkStart w:id="27" w:name="_BILL_SECTION_NUMBER__d93db45a_e0d0_449e"/>
      <w:r>
        <w:rPr>
          <w:rFonts w:ascii="Arial" w:eastAsia="Arial" w:hAnsi="Arial" w:cs="Arial"/>
          <w:b/>
          <w:sz w:val="24"/>
        </w:rPr>
        <w:t>2</w:t>
      </w:r>
      <w:bookmarkEnd w:id="27"/>
      <w:r>
        <w:rPr>
          <w:rFonts w:ascii="Arial" w:eastAsia="Arial" w:hAnsi="Arial" w:cs="Arial"/>
          <w:b/>
          <w:sz w:val="24"/>
        </w:rPr>
        <w:t>.  36 MRSA §1820</w:t>
      </w:r>
      <w:r>
        <w:rPr>
          <w:rFonts w:ascii="Arial" w:eastAsia="Arial" w:hAnsi="Arial" w:cs="Arial"/>
        </w:rPr>
        <w:t xml:space="preserve"> is enacted to read:</w:t>
      </w:r>
    </w:p>
    <w:p w:rsidR="00727810" w:rsidP="00727810">
      <w:pPr>
        <w:ind w:left="1080" w:hanging="720"/>
        <w:rPr>
          <w:rFonts w:ascii="Arial" w:eastAsia="Arial" w:hAnsi="Arial" w:cs="Arial"/>
        </w:rPr>
      </w:pPr>
      <w:bookmarkStart w:id="28" w:name="_REV__1a6c0728_b423_4b82_a1aa_c2c8d36c2e"/>
      <w:bookmarkStart w:id="29" w:name="_STATUTE_S__2621ad64_4789_4ef0_9a11_ecd0"/>
      <w:bookmarkStart w:id="30" w:name="_PROCESSED_CHANGE__4981cb53_1393_4144_ba"/>
      <w:bookmarkStart w:id="31" w:name="_PROCESSED_CHANGE__1535cda8_8e09_45f5_b8"/>
      <w:bookmarkStart w:id="32" w:name="_PROCESSED_CHANGE__54768e9b_0ce7_464d_bf"/>
      <w:bookmarkStart w:id="33" w:name="_PROCESSED_CHANGE__3e8770ba_47c6_4f6d_9c"/>
      <w:bookmarkStart w:id="34" w:name="_PROCESSED_CHANGE__37f2136e_26c7_4c8c_8b"/>
      <w:bookmarkEnd w:id="25"/>
      <w:r>
        <w:rPr>
          <w:rFonts w:ascii="Arial" w:eastAsia="Arial" w:hAnsi="Arial" w:cs="Arial"/>
          <w:b/>
          <w:u w:val="single"/>
        </w:rPr>
        <w:t>§</w:t>
      </w:r>
      <w:bookmarkStart w:id="35" w:name="_STATUTE_NUMBER__edfdb597_1ef5_49c5_b075"/>
      <w:r>
        <w:rPr>
          <w:rFonts w:ascii="Arial" w:eastAsia="Arial" w:hAnsi="Arial" w:cs="Arial"/>
          <w:b/>
          <w:u w:val="single"/>
        </w:rPr>
        <w:t>1820</w:t>
      </w:r>
      <w:bookmarkEnd w:id="35"/>
      <w:r>
        <w:rPr>
          <w:rFonts w:ascii="Arial" w:eastAsia="Arial" w:hAnsi="Arial" w:cs="Arial"/>
          <w:b/>
          <w:u w:val="single"/>
        </w:rPr>
        <w:t xml:space="preserve">.  </w:t>
      </w:r>
      <w:bookmarkStart w:id="36" w:name="_STATUTE_HEADNOTE__a095fcaa_af01_4264_af"/>
      <w:r>
        <w:rPr>
          <w:rFonts w:ascii="Arial" w:eastAsia="Arial" w:hAnsi="Arial" w:cs="Arial"/>
          <w:b/>
          <w:u w:val="single"/>
        </w:rPr>
        <w:t>Tax on rental of all-terrain vehicles</w:t>
      </w:r>
      <w:bookmarkEnd w:id="36"/>
    </w:p>
    <w:p w:rsidR="00727810" w:rsidP="00727810">
      <w:pPr>
        <w:ind w:left="360" w:firstLine="360"/>
        <w:rPr>
          <w:rFonts w:ascii="Arial" w:eastAsia="Arial" w:hAnsi="Arial" w:cs="Arial"/>
        </w:rPr>
      </w:pPr>
      <w:bookmarkStart w:id="37" w:name="_STATUTE_P__bf97b55e_9d8a_4939_a909_6c2b"/>
      <w:bookmarkStart w:id="38" w:name="_STATUTE_CONTENT__420f7628_846d_420e_a67"/>
      <w:bookmarkStart w:id="39" w:name="_REV__241146ab_867c_4010_a287_8bf938921f"/>
      <w:bookmarkEnd w:id="28"/>
      <w:r>
        <w:rPr>
          <w:rFonts w:ascii="Arial" w:eastAsia="Arial" w:hAnsi="Arial" w:cs="Arial"/>
          <w:u w:val="single"/>
        </w:rPr>
        <w:t>By the 20th day of each month beginning January 1, 2022, the assessor shall notify the State Controller and the Treasurer of State of the amount of revenue attributable to the tax collected under this Part on the rental of all-terrain vehicles as defined in Title 12, section 13001, subsection 3.  When notified by the assessor, the State Controller shall transfer</w:t>
      </w:r>
      <w:r>
        <w:rPr>
          <w:rFonts w:ascii="Arial" w:eastAsia="Arial" w:hAnsi="Arial" w:cs="Arial"/>
          <w:u w:val="single"/>
        </w:rPr>
        <w:t xml:space="preserve"> 90% of</w:t>
      </w:r>
      <w:r>
        <w:rPr>
          <w:rFonts w:ascii="Arial" w:eastAsia="Arial" w:hAnsi="Arial" w:cs="Arial"/>
          <w:u w:val="single"/>
        </w:rPr>
        <w:t xml:space="preserve"> that amount to the ATV Recreational Management Fund established in Title 12, section 1893, subsection 2</w:t>
      </w:r>
      <w:r>
        <w:rPr>
          <w:rFonts w:ascii="Arial" w:eastAsia="Arial" w:hAnsi="Arial" w:cs="Arial"/>
          <w:u w:val="single"/>
        </w:rPr>
        <w:t xml:space="preserve"> and</w:t>
      </w:r>
      <w:r>
        <w:rPr>
          <w:rFonts w:ascii="Arial" w:eastAsia="Arial" w:hAnsi="Arial" w:cs="Arial"/>
          <w:u w:val="single"/>
        </w:rPr>
        <w:t xml:space="preserve"> </w:t>
      </w:r>
      <w:r>
        <w:rPr>
          <w:rFonts w:ascii="Arial" w:eastAsia="Arial" w:hAnsi="Arial" w:cs="Arial"/>
          <w:u w:val="single"/>
        </w:rPr>
        <w:t>10% to the Multimodal Transportation Fund established in</w:t>
      </w:r>
      <w:r>
        <w:rPr>
          <w:rFonts w:ascii="Arial" w:eastAsia="Arial" w:hAnsi="Arial" w:cs="Arial"/>
          <w:u w:val="single"/>
        </w:rPr>
        <w:t xml:space="preserve"> Title 23, section 4210-B</w:t>
      </w:r>
      <w:r>
        <w:rPr>
          <w:rFonts w:ascii="Arial" w:eastAsia="Arial" w:hAnsi="Arial" w:cs="Arial"/>
          <w:u w:val="single"/>
        </w:rPr>
        <w:t>.</w:t>
      </w:r>
    </w:p>
    <w:p w:rsidR="00727810" w:rsidP="00727810">
      <w:pPr>
        <w:ind w:left="360" w:firstLine="360"/>
        <w:rPr>
          <w:rFonts w:ascii="Arial" w:eastAsia="Arial" w:hAnsi="Arial" w:cs="Arial"/>
        </w:rPr>
      </w:pPr>
      <w:bookmarkStart w:id="40" w:name="_APPROP_SECTION__0c1fb914_96c3_44ca_9c7c"/>
      <w:bookmarkEnd w:id="26"/>
      <w:bookmarkEnd w:id="29"/>
      <w:bookmarkEnd w:id="30"/>
      <w:bookmarkEnd w:id="31"/>
      <w:bookmarkEnd w:id="32"/>
      <w:bookmarkEnd w:id="33"/>
      <w:bookmarkEnd w:id="34"/>
      <w:bookmarkEnd w:id="37"/>
      <w:bookmarkEnd w:id="38"/>
      <w:bookmarkEnd w:id="39"/>
      <w:r>
        <w:rPr>
          <w:rFonts w:ascii="Arial" w:eastAsia="Arial" w:hAnsi="Arial" w:cs="Arial"/>
          <w:b/>
          <w:sz w:val="24"/>
        </w:rPr>
        <w:t xml:space="preserve">Sec. </w:t>
      </w:r>
      <w:bookmarkStart w:id="41" w:name="_BILL_SECTION_NUMBER__91fcdef2_5390_404f"/>
      <w:r>
        <w:rPr>
          <w:rFonts w:ascii="Arial" w:eastAsia="Arial" w:hAnsi="Arial" w:cs="Arial"/>
          <w:b/>
          <w:sz w:val="24"/>
        </w:rPr>
        <w:t>3</w:t>
      </w:r>
      <w:bookmarkEnd w:id="41"/>
      <w:r>
        <w:rPr>
          <w:rFonts w:ascii="Arial" w:eastAsia="Arial" w:hAnsi="Arial" w:cs="Arial"/>
          <w:b/>
          <w:sz w:val="24"/>
        </w:rPr>
        <w:t>.  Appropriations and allocations.</w:t>
      </w:r>
      <w:r>
        <w:rPr>
          <w:rFonts w:ascii="Arial" w:eastAsia="Arial" w:hAnsi="Arial" w:cs="Arial"/>
        </w:rPr>
        <w:t>  The following appropriations and allocations are made.</w:t>
      </w:r>
    </w:p>
    <w:p w:rsidR="00727810" w:rsidP="00727810">
      <w:pPr>
        <w:pStyle w:val="BPSParagraphLeftAlign"/>
        <w:suppressAutoHyphens/>
        <w:ind w:left="360"/>
        <w:rPr>
          <w:rFonts w:ascii="Arial" w:eastAsia="Arial" w:hAnsi="Arial" w:cs="Arial"/>
        </w:rPr>
      </w:pPr>
      <w:r>
        <w:rPr>
          <w:rFonts w:ascii="Arial" w:eastAsia="Arial" w:hAnsi="Arial" w:cs="Arial"/>
          <w:b/>
        </w:rPr>
        <w:t>AGRICULTURE, CONSERVATION AND FORESTRY, DEPARTMENT OF</w:t>
      </w:r>
    </w:p>
    <w:p w:rsidR="00727810" w:rsidP="00727810">
      <w:pPr>
        <w:pStyle w:val="BPSParagraphLeftAlign"/>
        <w:suppressAutoHyphens/>
        <w:ind w:left="360"/>
        <w:rPr>
          <w:rFonts w:ascii="Arial" w:eastAsia="Arial" w:hAnsi="Arial" w:cs="Arial"/>
        </w:rPr>
      </w:pPr>
      <w:r>
        <w:rPr>
          <w:rFonts w:ascii="Arial" w:eastAsia="Arial" w:hAnsi="Arial" w:cs="Arial"/>
          <w:b/>
        </w:rPr>
        <w:t>Off-Road Recreational Vehicles Program Z224</w:t>
      </w:r>
    </w:p>
    <w:p w:rsidR="00727810" w:rsidP="00727810">
      <w:pPr>
        <w:ind w:left="360"/>
        <w:rPr>
          <w:rFonts w:ascii="Arial" w:eastAsia="Arial" w:hAnsi="Arial" w:cs="Arial"/>
        </w:rPr>
      </w:pPr>
      <w:r>
        <w:rPr>
          <w:rFonts w:ascii="Arial" w:eastAsia="Arial" w:hAnsi="Arial" w:cs="Arial"/>
        </w:rPr>
        <w:t>Initiative: Provides allocation for additional revenue from an all-terrain vehicle short-term rental tax.</w:t>
      </w:r>
    </w:p>
    <w:tbl>
      <w:tblPr>
        <w:tblStyle w:val="BPSTable"/>
        <w:tblW w:w="0" w:type="auto"/>
        <w:tblInd w:w="360" w:type="dxa"/>
        <w:tblCellMar>
          <w:left w:w="0" w:type="dxa"/>
          <w:right w:w="0" w:type="dxa"/>
        </w:tblCellMar>
        <w:tblLook w:val="04A0"/>
      </w:tblPr>
      <w:tblGrid>
        <w:gridCol w:w="5009"/>
        <w:gridCol w:w="1463"/>
        <w:gridCol w:w="1463"/>
      </w:tblGrid>
      <w:tr w:rsidTr="00960CDD">
        <w:tblPrEx>
          <w:tblW w:w="0" w:type="auto"/>
          <w:tblInd w:w="360" w:type="dxa"/>
          <w:tblCellMar>
            <w:left w:w="0" w:type="dxa"/>
            <w:right w:w="0" w:type="dxa"/>
          </w:tblCellMar>
          <w:tblLook w:val="04A0"/>
        </w:tblPrEx>
        <w:tc>
          <w:tcPr>
            <w:tcW w:w="5069" w:type="dxa"/>
          </w:tcPr>
          <w:p w:rsidR="00727810" w:rsidP="00960CDD">
            <w:pPr>
              <w:rPr>
                <w:rFonts w:ascii="Arial" w:eastAsia="Arial" w:hAnsi="Arial" w:cs="Arial"/>
              </w:rPr>
            </w:pPr>
            <w:r>
              <w:rPr>
                <w:rFonts w:ascii="Arial" w:eastAsia="Arial" w:hAnsi="Arial" w:cs="Arial"/>
                <w:b/>
              </w:rPr>
              <w:t>OTHER SPECIAL REVENUE FUNDS</w:t>
            </w:r>
          </w:p>
        </w:tc>
        <w:tc>
          <w:tcPr>
            <w:tcW w:w="1469" w:type="dxa"/>
          </w:tcPr>
          <w:p w:rsidR="00727810" w:rsidP="00960CDD">
            <w:pPr>
              <w:jc w:val="right"/>
              <w:rPr>
                <w:rFonts w:ascii="Arial" w:eastAsia="Arial" w:hAnsi="Arial" w:cs="Arial"/>
              </w:rPr>
            </w:pPr>
            <w:r>
              <w:rPr>
                <w:rFonts w:ascii="Arial" w:eastAsia="Arial" w:hAnsi="Arial" w:cs="Arial"/>
                <w:b/>
              </w:rPr>
              <w:t>2021-22</w:t>
            </w:r>
          </w:p>
        </w:tc>
        <w:tc>
          <w:tcPr>
            <w:tcW w:w="1469" w:type="dxa"/>
          </w:tcPr>
          <w:p w:rsidR="00727810" w:rsidP="00960CDD">
            <w:pPr>
              <w:jc w:val="right"/>
              <w:rPr>
                <w:rFonts w:ascii="Arial" w:eastAsia="Arial" w:hAnsi="Arial" w:cs="Arial"/>
              </w:rPr>
            </w:pPr>
            <w:r>
              <w:rPr>
                <w:rFonts w:ascii="Arial" w:eastAsia="Arial" w:hAnsi="Arial" w:cs="Arial"/>
                <w:b/>
              </w:rPr>
              <w:t>2022-23</w:t>
            </w:r>
          </w:p>
        </w:tc>
      </w:tr>
      <w:tr w:rsidTr="00960CDD">
        <w:tblPrEx>
          <w:tblW w:w="0" w:type="auto"/>
          <w:tblInd w:w="360" w:type="dxa"/>
          <w:tblCellMar>
            <w:left w:w="0" w:type="dxa"/>
            <w:right w:w="0" w:type="dxa"/>
          </w:tblCellMar>
          <w:tblLook w:val="04A0"/>
        </w:tblPrEx>
        <w:tc>
          <w:tcPr>
            <w:tcW w:w="5069" w:type="dxa"/>
          </w:tcPr>
          <w:p w:rsidR="00727810" w:rsidP="00960CDD">
            <w:pPr>
              <w:ind w:left="180"/>
              <w:rPr>
                <w:rFonts w:ascii="Arial" w:eastAsia="Arial" w:hAnsi="Arial" w:cs="Arial"/>
              </w:rPr>
            </w:pPr>
            <w:r>
              <w:rPr>
                <w:rFonts w:ascii="Arial" w:eastAsia="Arial" w:hAnsi="Arial" w:cs="Arial"/>
              </w:rPr>
              <w:t>All Other</w:t>
            </w:r>
          </w:p>
        </w:tc>
        <w:tc>
          <w:tcPr>
            <w:tcW w:w="1469" w:type="dxa"/>
          </w:tcPr>
          <w:p w:rsidR="00727810" w:rsidP="00960CDD">
            <w:pPr>
              <w:jc w:val="right"/>
              <w:rPr>
                <w:rFonts w:ascii="Arial" w:eastAsia="Arial" w:hAnsi="Arial" w:cs="Arial"/>
              </w:rPr>
            </w:pPr>
            <w:r>
              <w:rPr>
                <w:rFonts w:ascii="Arial" w:eastAsia="Arial" w:hAnsi="Arial" w:cs="Arial"/>
              </w:rPr>
              <w:t>$3,600</w:t>
            </w:r>
          </w:p>
        </w:tc>
        <w:tc>
          <w:tcPr>
            <w:tcW w:w="1469" w:type="dxa"/>
          </w:tcPr>
          <w:p w:rsidR="00727810" w:rsidP="00960CDD">
            <w:pPr>
              <w:jc w:val="right"/>
              <w:rPr>
                <w:rFonts w:ascii="Arial" w:eastAsia="Arial" w:hAnsi="Arial" w:cs="Arial"/>
              </w:rPr>
            </w:pPr>
            <w:r>
              <w:rPr>
                <w:rFonts w:ascii="Arial" w:eastAsia="Arial" w:hAnsi="Arial" w:cs="Arial"/>
              </w:rPr>
              <w:t>$45,000</w:t>
            </w:r>
          </w:p>
        </w:tc>
      </w:tr>
      <w:tr w:rsidTr="00960CDD">
        <w:tblPrEx>
          <w:tblW w:w="0" w:type="auto"/>
          <w:tblInd w:w="360" w:type="dxa"/>
          <w:tblCellMar>
            <w:left w:w="0" w:type="dxa"/>
            <w:right w:w="0" w:type="dxa"/>
          </w:tblCellMar>
          <w:tblLook w:val="04A0"/>
        </w:tblPrEx>
        <w:tc>
          <w:tcPr>
            <w:tcW w:w="5069" w:type="dxa"/>
          </w:tcPr>
          <w:p w:rsidR="00727810" w:rsidP="00960CDD">
            <w:pPr>
              <w:rPr>
                <w:rFonts w:ascii="Arial" w:eastAsia="Arial" w:hAnsi="Arial" w:cs="Arial"/>
              </w:rPr>
            </w:pPr>
            <w:r>
              <w:rPr>
                <w:rFonts w:ascii="Arial" w:eastAsia="Arial" w:hAnsi="Arial" w:cs="Arial"/>
              </w:rPr>
              <w:t xml:space="preserve"> </w:t>
            </w:r>
          </w:p>
        </w:tc>
        <w:tc>
          <w:tcPr>
            <w:tcW w:w="1469" w:type="dxa"/>
          </w:tcPr>
          <w:p w:rsidR="00727810" w:rsidP="00960CDD">
            <w:pPr>
              <w:jc w:val="right"/>
              <w:rPr>
                <w:rFonts w:ascii="Arial" w:eastAsia="Arial" w:hAnsi="Arial" w:cs="Arial"/>
              </w:rPr>
            </w:pPr>
            <w:r>
              <w:rPr>
                <w:rFonts w:ascii="Arial" w:eastAsia="Arial" w:hAnsi="Arial" w:cs="Arial"/>
              </w:rPr>
              <w:t>__________</w:t>
            </w:r>
          </w:p>
        </w:tc>
        <w:tc>
          <w:tcPr>
            <w:tcW w:w="1469" w:type="dxa"/>
          </w:tcPr>
          <w:p w:rsidR="00727810" w:rsidP="00960CDD">
            <w:pPr>
              <w:jc w:val="right"/>
              <w:rPr>
                <w:rFonts w:ascii="Arial" w:eastAsia="Arial" w:hAnsi="Arial" w:cs="Arial"/>
              </w:rPr>
            </w:pPr>
            <w:r>
              <w:rPr>
                <w:rFonts w:ascii="Arial" w:eastAsia="Arial" w:hAnsi="Arial" w:cs="Arial"/>
              </w:rPr>
              <w:t>__________</w:t>
            </w:r>
          </w:p>
        </w:tc>
      </w:tr>
      <w:tr w:rsidTr="00960CDD">
        <w:tblPrEx>
          <w:tblW w:w="0" w:type="auto"/>
          <w:tblInd w:w="360" w:type="dxa"/>
          <w:tblCellMar>
            <w:left w:w="0" w:type="dxa"/>
            <w:right w:w="0" w:type="dxa"/>
          </w:tblCellMar>
          <w:tblLook w:val="04A0"/>
        </w:tblPrEx>
        <w:tc>
          <w:tcPr>
            <w:tcW w:w="5069" w:type="dxa"/>
          </w:tcPr>
          <w:p w:rsidR="00727810" w:rsidP="00960CDD">
            <w:pPr>
              <w:rPr>
                <w:rFonts w:ascii="Arial" w:eastAsia="Arial" w:hAnsi="Arial" w:cs="Arial"/>
              </w:rPr>
            </w:pPr>
            <w:r>
              <w:rPr>
                <w:rFonts w:ascii="Arial" w:eastAsia="Arial" w:hAnsi="Arial" w:cs="Arial"/>
              </w:rPr>
              <w:t>OTHER SPECIAL REVENUE FUNDS TOTAL</w:t>
            </w:r>
          </w:p>
        </w:tc>
        <w:tc>
          <w:tcPr>
            <w:tcW w:w="1469" w:type="dxa"/>
          </w:tcPr>
          <w:p w:rsidR="00727810" w:rsidP="00960CDD">
            <w:pPr>
              <w:jc w:val="right"/>
              <w:rPr>
                <w:rFonts w:ascii="Arial" w:eastAsia="Arial" w:hAnsi="Arial" w:cs="Arial"/>
              </w:rPr>
            </w:pPr>
            <w:r>
              <w:rPr>
                <w:rFonts w:ascii="Arial" w:eastAsia="Arial" w:hAnsi="Arial" w:cs="Arial"/>
              </w:rPr>
              <w:t>$3,600</w:t>
            </w:r>
          </w:p>
        </w:tc>
        <w:tc>
          <w:tcPr>
            <w:tcW w:w="1469" w:type="dxa"/>
          </w:tcPr>
          <w:p w:rsidR="00727810" w:rsidP="00960CDD">
            <w:pPr>
              <w:jc w:val="right"/>
              <w:rPr>
                <w:rFonts w:ascii="Arial" w:eastAsia="Arial" w:hAnsi="Arial" w:cs="Arial"/>
              </w:rPr>
            </w:pPr>
            <w:r>
              <w:rPr>
                <w:rFonts w:ascii="Arial" w:eastAsia="Arial" w:hAnsi="Arial" w:cs="Arial"/>
              </w:rPr>
              <w:t>$45,000</w:t>
            </w:r>
          </w:p>
        </w:tc>
      </w:tr>
      <w:bookmarkEnd w:id="2"/>
      <w:bookmarkEnd w:id="5"/>
      <w:bookmarkEnd w:id="6"/>
      <w:bookmarkEnd w:id="40"/>
    </w:tbl>
    <w:p w:rsidR="00000000">
      <w:pPr>
        <w:rPr>
          <w:rFonts w:ascii="Arial" w:eastAsia="Arial" w:hAnsi="Arial" w:cs="Arial"/>
        </w:rPr>
      </w:pPr>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LR0205,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Support All-terrain Vehicle Trail Improvement</w:t>
    </w:r>
  </w:p>
  <w:p>
    <w:pPr>
      <w:suppressLineNumbers/>
      <w:spacing w:before="0" w:after="0"/>
      <w:jc w:val="center"/>
      <w:rPr>
        <w:rFonts w:ascii="Arial" w:eastAsia="Arial" w:hAnsi="Arial" w:cs="Arial"/>
      </w:rPr>
    </w:pPr>
    <w:r>
      <w:rPr>
        <w:rFonts w:ascii="Arial" w:eastAsia="Arial" w:hAnsi="Arial" w:cs="Arial"/>
        <w:sz w:val="22"/>
      </w:rPr>
      <w:t>L.D. 1468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084E3B"/>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27810"/>
    <w:rsid w:val="007D72C8"/>
    <w:rsid w:val="007F3B1E"/>
    <w:rsid w:val="00801F19"/>
    <w:rsid w:val="00806421"/>
    <w:rsid w:val="008A5943"/>
    <w:rsid w:val="0092322A"/>
    <w:rsid w:val="009367EC"/>
    <w:rsid w:val="00960CDD"/>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CC4AF8"/>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