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Controlled Entry Areas within Retail Marijuana Stores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1050 - L.D. 1434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Controlled Entry Areas within Retail Marijuana Stores</w:t>
      </w:r>
    </w:p>
    <w:p w:rsidR="00DB5810" w:rsidP="00DB5810">
      <w:pPr>
        <w:ind w:left="360"/>
        <w:rPr>
          <w:rFonts w:ascii="Arial" w:eastAsia="Arial" w:hAnsi="Arial" w:cs="Arial"/>
        </w:rPr>
      </w:pPr>
      <w:bookmarkStart w:id="0" w:name="_ENACTING_CLAUSE__147e48ad_d4cc_4448_98b"/>
      <w:bookmarkStart w:id="1" w:name="_PAR__1_8a1cdf0c_23da_4167_8d53_129dbd8d"/>
      <w:bookmarkStart w:id="2" w:name="_DOC_BODY_CONTAINER__7a246c82_1769_45a2_"/>
      <w:r>
        <w:rPr>
          <w:rFonts w:ascii="Arial" w:eastAsia="Arial" w:hAnsi="Arial" w:cs="Arial"/>
          <w:b/>
        </w:rPr>
        <w:t>Be it enacted by the People of the State of Maine as follows:</w:t>
      </w:r>
    </w:p>
    <w:p w:rsidR="00DB5810" w:rsidP="00DB5810">
      <w:pPr>
        <w:ind w:left="360" w:firstLine="360"/>
        <w:rPr>
          <w:rFonts w:ascii="Arial" w:eastAsia="Arial" w:hAnsi="Arial" w:cs="Arial"/>
        </w:rPr>
      </w:pPr>
      <w:bookmarkStart w:id="3" w:name="_BILL_SECTION_HEADER__50a18cc1_0058_4c2c"/>
      <w:bookmarkStart w:id="4" w:name="_BILL_SECTION__52ae8ca3_9b60_4fd1_af08_5"/>
      <w:bookmarkStart w:id="5" w:name="_INSTRUCTION__09d8d87d_e372_477a_8d96_44"/>
      <w:bookmarkStart w:id="6" w:name="_DOC_BODY_CONTENT__edc0aca6_3214_4c89_b9"/>
      <w:bookmarkEnd w:id="0"/>
      <w:bookmarkEnd w:id="1"/>
      <w:r>
        <w:rPr>
          <w:rFonts w:ascii="Arial" w:eastAsia="Arial" w:hAnsi="Arial" w:cs="Arial"/>
          <w:b/>
          <w:sz w:val="24"/>
        </w:rPr>
        <w:t xml:space="preserve">Sec. </w:t>
      </w:r>
      <w:bookmarkStart w:id="7" w:name="_BILL_SECTION_NUMBER__465962e0_eb9a_44a3"/>
      <w:r>
        <w:rPr>
          <w:rFonts w:ascii="Arial" w:eastAsia="Arial" w:hAnsi="Arial" w:cs="Arial"/>
          <w:b/>
          <w:sz w:val="24"/>
        </w:rPr>
        <w:t>1</w:t>
      </w:r>
      <w:bookmarkEnd w:id="7"/>
      <w:r>
        <w:rPr>
          <w:rFonts w:ascii="Arial" w:eastAsia="Arial" w:hAnsi="Arial" w:cs="Arial"/>
          <w:b/>
          <w:sz w:val="24"/>
        </w:rPr>
        <w:t>.  28-B MRSA §504, sub-§4-A</w:t>
      </w:r>
      <w:r>
        <w:rPr>
          <w:rFonts w:ascii="Arial" w:eastAsia="Arial" w:hAnsi="Arial" w:cs="Arial"/>
        </w:rPr>
        <w:t xml:space="preserve"> is enacted to read:</w:t>
      </w:r>
    </w:p>
    <w:p w:rsidR="00DB5810" w:rsidP="00DB5810">
      <w:pPr>
        <w:ind w:left="360" w:firstLine="360"/>
        <w:rPr>
          <w:rFonts w:ascii="Arial" w:eastAsia="Arial" w:hAnsi="Arial" w:cs="Arial"/>
        </w:rPr>
      </w:pPr>
      <w:bookmarkStart w:id="8" w:name="_STATUTE_NUMBER__a25302b8_ab2e_4b60_a218"/>
      <w:bookmarkStart w:id="9" w:name="_STATUTE_SS__34826c2a_e8fb_4401_bd2e_f64"/>
      <w:bookmarkStart w:id="10" w:name="_REV__9f181d84_c49f_4eaf_b1c7_03fbd71904"/>
      <w:bookmarkStart w:id="11" w:name="_PROCESSED_CHANGE__5b9352ea_cd6a_4729_87"/>
      <w:bookmarkEnd w:id="3"/>
      <w:r>
        <w:rPr>
          <w:rFonts w:ascii="Arial" w:eastAsia="Arial" w:hAnsi="Arial" w:cs="Arial"/>
          <w:b/>
          <w:u w:val="single"/>
        </w:rPr>
        <w:t>4-A</w:t>
      </w:r>
      <w:bookmarkEnd w:id="8"/>
      <w:r>
        <w:rPr>
          <w:rFonts w:ascii="Arial" w:eastAsia="Arial" w:hAnsi="Arial" w:cs="Arial"/>
          <w:b/>
          <w:u w:val="single"/>
        </w:rPr>
        <w:t xml:space="preserve">.  </w:t>
      </w:r>
      <w:bookmarkStart w:id="12" w:name="_STATUTE_HEADNOTE__9f1088ab_350e_4f48_b7"/>
      <w:r>
        <w:rPr>
          <w:rFonts w:ascii="Arial" w:eastAsia="Arial" w:hAnsi="Arial" w:cs="Arial"/>
          <w:b/>
          <w:u w:val="single"/>
        </w:rPr>
        <w:t>Controlled</w:t>
      </w:r>
      <w:r>
        <w:rPr>
          <w:rFonts w:ascii="Arial" w:eastAsia="Arial" w:hAnsi="Arial" w:cs="Arial"/>
          <w:b/>
          <w:u w:val="single"/>
        </w:rPr>
        <w:t>,</w:t>
      </w:r>
      <w:r>
        <w:rPr>
          <w:rFonts w:ascii="Arial" w:eastAsia="Arial" w:hAnsi="Arial" w:cs="Arial"/>
          <w:b/>
          <w:u w:val="single"/>
        </w:rPr>
        <w:t xml:space="preserve"> indoor entry area. </w:t>
      </w:r>
      <w:r>
        <w:rPr>
          <w:rFonts w:ascii="Arial" w:eastAsia="Arial" w:hAnsi="Arial" w:cs="Arial"/>
          <w:u w:val="single"/>
        </w:rPr>
        <w:t xml:space="preserve"> </w:t>
      </w:r>
      <w:bookmarkStart w:id="13" w:name="_STATUTE_CONTENT__ed5b229d_a695_4ee1_a53"/>
      <w:bookmarkEnd w:id="12"/>
      <w:r>
        <w:rPr>
          <w:rFonts w:ascii="Arial" w:eastAsia="Arial" w:hAnsi="Arial" w:cs="Arial"/>
          <w:u w:val="single"/>
        </w:rPr>
        <w:t>A marijuana store may have a controlled, indoor entry area directly inside the marijuana store in which an employee of the marijuana store licensee may verify the identification and age of persons and persons may await entry into the sales area of the marijuana store.  A controlled, indoor entry area under this subsection must be physically separated from the sales area of the marijuana store.</w:t>
      </w:r>
    </w:p>
    <w:p w:rsidR="00DB5810" w:rsidP="00DB5810">
      <w:pPr>
        <w:ind w:left="360" w:firstLine="360"/>
        <w:rPr>
          <w:rFonts w:ascii="Arial" w:eastAsia="Arial" w:hAnsi="Arial" w:cs="Arial"/>
        </w:rPr>
      </w:pPr>
      <w:bookmarkStart w:id="14" w:name="_BILL_SECTION_HEADER__b3a2f2c6_dc25_4203"/>
      <w:bookmarkStart w:id="15" w:name="_BILL_SECTION__c286c422_ca49_479b_94a7_9"/>
      <w:bookmarkEnd w:id="4"/>
      <w:bookmarkEnd w:id="9"/>
      <w:bookmarkEnd w:id="10"/>
      <w:bookmarkEnd w:id="11"/>
      <w:bookmarkEnd w:id="13"/>
      <w:r>
        <w:rPr>
          <w:rFonts w:ascii="Arial" w:eastAsia="Arial" w:hAnsi="Arial" w:cs="Arial"/>
          <w:b/>
          <w:sz w:val="24"/>
        </w:rPr>
        <w:t xml:space="preserve">Sec. </w:t>
      </w:r>
      <w:bookmarkStart w:id="16" w:name="_BILL_SECTION_NUMBER__79915ced_a899_41d0"/>
      <w:r>
        <w:rPr>
          <w:rFonts w:ascii="Arial" w:eastAsia="Arial" w:hAnsi="Arial" w:cs="Arial"/>
          <w:b/>
          <w:sz w:val="24"/>
        </w:rPr>
        <w:t>2</w:t>
      </w:r>
      <w:bookmarkEnd w:id="16"/>
      <w:r>
        <w:rPr>
          <w:rFonts w:ascii="Arial" w:eastAsia="Arial" w:hAnsi="Arial" w:cs="Arial"/>
          <w:b/>
          <w:sz w:val="24"/>
        </w:rPr>
        <w:t>.  28-B MRSA §507,</w:t>
      </w:r>
      <w:r>
        <w:rPr>
          <w:rFonts w:ascii="Arial" w:eastAsia="Arial" w:hAnsi="Arial" w:cs="Arial"/>
        </w:rPr>
        <w:t xml:space="preserve"> as enacted by PL 2017, c. 409, Pt. A, §6, is amended to read:</w:t>
      </w:r>
    </w:p>
    <w:p w:rsidR="00DB5810" w:rsidP="00DB5810">
      <w:pPr>
        <w:ind w:left="1080" w:hanging="720"/>
        <w:rPr>
          <w:rFonts w:ascii="Arial" w:eastAsia="Arial" w:hAnsi="Arial" w:cs="Arial"/>
        </w:rPr>
      </w:pPr>
      <w:bookmarkStart w:id="17" w:name="_STATUTE_S__7ec11378_7f33_4632_a056_5f20"/>
      <w:bookmarkEnd w:id="14"/>
      <w:r>
        <w:rPr>
          <w:rFonts w:ascii="Arial" w:eastAsia="Arial" w:hAnsi="Arial" w:cs="Arial"/>
          <w:b/>
        </w:rPr>
        <w:t>§</w:t>
      </w:r>
      <w:bookmarkStart w:id="18" w:name="_STATUTE_NUMBER__e44f3325_e6c4_4fab_acfb"/>
      <w:r>
        <w:rPr>
          <w:rFonts w:ascii="Arial" w:eastAsia="Arial" w:hAnsi="Arial" w:cs="Arial"/>
          <w:b/>
        </w:rPr>
        <w:t>507</w:t>
      </w:r>
      <w:bookmarkEnd w:id="18"/>
      <w:r>
        <w:rPr>
          <w:rFonts w:ascii="Arial" w:eastAsia="Arial" w:hAnsi="Arial" w:cs="Arial"/>
          <w:b/>
        </w:rPr>
        <w:t xml:space="preserve">.  </w:t>
      </w:r>
      <w:bookmarkStart w:id="19" w:name="_STATUTE_HEADNOTE__516d7c5b_0a32_48c4_b1"/>
      <w:r>
        <w:rPr>
          <w:rFonts w:ascii="Arial" w:eastAsia="Arial" w:hAnsi="Arial" w:cs="Arial"/>
          <w:b/>
        </w:rPr>
        <w:t>Entry into marijuana establishment by persons under 21 years of age prohibited</w:t>
      </w:r>
      <w:bookmarkEnd w:id="19"/>
    </w:p>
    <w:p w:rsidR="00000000" w:rsidP="00DB5810">
      <w:pPr>
        <w:ind w:left="360" w:firstLine="360"/>
        <w:rPr>
          <w:rFonts w:ascii="Arial" w:eastAsia="Arial" w:hAnsi="Arial" w:cs="Arial"/>
        </w:rPr>
      </w:pPr>
      <w:bookmarkStart w:id="20" w:name="_STATUTE_CONTENT__aac68a22_6e64_4c4c_892"/>
      <w:bookmarkStart w:id="21" w:name="_STATUTE_P__3a46f2b8_bad8_4e3d_84cf_ed90"/>
      <w:r>
        <w:rPr>
          <w:rFonts w:ascii="Arial" w:eastAsia="Arial" w:hAnsi="Arial" w:cs="Arial"/>
        </w:rPr>
        <w:t>A person under 21 years of age may not enter the licensed premises of a marijuana establishment.  A licensee shall ensure that persons under 21 years of age do not enter its licensed premises</w:t>
      </w:r>
      <w:bookmarkStart w:id="22" w:name="_REV__78904563_3db9_4222_b15f_746fd129f3"/>
      <w:bookmarkStart w:id="23" w:name="_PROCESSED_CHANGE__db53731c_2f57_431d_8c"/>
      <w:r>
        <w:rPr>
          <w:rFonts w:ascii="Arial" w:eastAsia="Arial" w:hAnsi="Arial" w:cs="Arial"/>
          <w:u w:val="single"/>
        </w:rPr>
        <w:t xml:space="preserve">, except that a marijuana store licensee may use a controlled, indoor entry area, in accordance with section 504, subsection </w:t>
      </w:r>
      <w:r>
        <w:rPr>
          <w:rFonts w:ascii="Arial" w:eastAsia="Arial" w:hAnsi="Arial" w:cs="Arial"/>
          <w:u w:val="single"/>
        </w:rPr>
        <w:t>4</w:t>
      </w:r>
      <w:r>
        <w:rPr>
          <w:rFonts w:ascii="Arial" w:eastAsia="Arial" w:hAnsi="Arial" w:cs="Arial"/>
          <w:u w:val="single"/>
        </w:rPr>
        <w:t>-A, in a marijuana store to verify the identification and age of persons before allowing entry into the sales area of the marijuana store</w:t>
      </w:r>
      <w:bookmarkEnd w:id="22"/>
      <w:bookmarkEnd w:id="23"/>
      <w:r>
        <w:rPr>
          <w:rFonts w:ascii="Arial" w:eastAsia="Arial" w:hAnsi="Arial" w:cs="Arial"/>
        </w:rPr>
        <w:t>.</w:t>
      </w:r>
      <w:bookmarkEnd w:id="20"/>
      <w:bookmarkEnd w:id="2"/>
      <w:bookmarkEnd w:id="5"/>
      <w:bookmarkEnd w:id="6"/>
      <w:bookmarkEnd w:id="15"/>
      <w:bookmarkEnd w:id="17"/>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LR0673,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Controlled Entry Areas within Retail Marijuana Stores</w:t>
    </w:r>
  </w:p>
  <w:p>
    <w:pPr>
      <w:suppressLineNumbers/>
      <w:spacing w:before="0" w:after="0"/>
      <w:jc w:val="center"/>
      <w:rPr>
        <w:rFonts w:ascii="Arial" w:eastAsia="Arial" w:hAnsi="Arial" w:cs="Arial"/>
      </w:rPr>
    </w:pPr>
    <w:r>
      <w:rPr>
        <w:rFonts w:ascii="Arial" w:eastAsia="Arial" w:hAnsi="Arial" w:cs="Arial"/>
        <w:sz w:val="22"/>
      </w:rPr>
      <w:t>L.D. 1434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5810"/>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