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Study Incentives for Residential Fire Sprinkler Systems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998 - L.D. 1364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Study Incentives for Residential Fire Sprinkler Systems</w:t>
      </w:r>
    </w:p>
    <w:p w:rsidR="00777E9D" w:rsidP="00777E9D">
      <w:pPr>
        <w:ind w:left="360" w:firstLine="360"/>
        <w:rPr>
          <w:rFonts w:ascii="Arial" w:eastAsia="Arial" w:hAnsi="Arial" w:cs="Arial"/>
        </w:rPr>
      </w:pPr>
      <w:bookmarkStart w:id="0" w:name="_BILL_SECTION_UNALLOCATED__41944ce6_c480"/>
      <w:bookmarkStart w:id="1" w:name="_PAR__1_9a8fd441_6f8c_46c6_83e7_a3d7bfd1"/>
      <w:bookmarkStart w:id="2" w:name="_DOC_BODY_CONTENT__e2c8ec65_c2a7_443b_8e"/>
      <w:bookmarkStart w:id="3" w:name="_DOC_BODY_CONTAINER__25b86975_6506_42c4_"/>
      <w:r>
        <w:rPr>
          <w:rFonts w:ascii="Arial" w:eastAsia="Arial" w:hAnsi="Arial" w:cs="Arial"/>
          <w:b/>
          <w:sz w:val="24"/>
        </w:rPr>
        <w:t xml:space="preserve">Sec. </w:t>
      </w:r>
      <w:bookmarkStart w:id="4" w:name="_BILL_SECTION_NUMBER__93d26f3c_c2a8_4f56"/>
      <w:r>
        <w:rPr>
          <w:rFonts w:ascii="Arial" w:eastAsia="Arial" w:hAnsi="Arial" w:cs="Arial"/>
          <w:b/>
          <w:sz w:val="24"/>
        </w:rPr>
        <w:t>1</w:t>
      </w:r>
      <w:bookmarkEnd w:id="4"/>
      <w:r>
        <w:rPr>
          <w:rFonts w:ascii="Arial" w:eastAsia="Arial" w:hAnsi="Arial" w:cs="Arial"/>
          <w:b/>
          <w:sz w:val="24"/>
        </w:rPr>
        <w:t xml:space="preserve">.  </w:t>
      </w:r>
      <w:r w:rsidRPr="00DF4A09">
        <w:rPr>
          <w:rFonts w:ascii="Arial" w:eastAsia="Arial" w:hAnsi="Arial" w:cs="Arial"/>
          <w:b/>
          <w:sz w:val="24"/>
        </w:rPr>
        <w:t>Study and recommend incentives for residential fire sprinkler systems.  Resolved:</w:t>
      </w:r>
      <w:r>
        <w:rPr>
          <w:rFonts w:ascii="Arial" w:eastAsia="Arial" w:hAnsi="Arial" w:cs="Arial"/>
        </w:rPr>
        <w:t xml:space="preserve">  </w:t>
      </w:r>
      <w:r w:rsidRPr="00DF4A09">
        <w:rPr>
          <w:rFonts w:ascii="Arial" w:eastAsia="Arial" w:hAnsi="Arial" w:cs="Arial"/>
        </w:rPr>
        <w:t>That the State Fire Marshal shall convene a task force to study whether it is feasible and desirable to provide incentives for developers, builders and home buyers to install residential sprinklers.  The study must examine the forms and delivery of incentives and dissemination of public information about and advertising of incentives.  The study must include consideration of incentives that differ in urban and rural areas.  The State Fire Marshal shall invite to serve on the task force individuals representing the following: fire chiefs, firefighters, builders and contractors, real estate agents, fire sprinkler contractors, fire safety educators, insurance carriers, water districts and other persons who express interest in the work of the task force.</w:t>
      </w:r>
    </w:p>
    <w:p w:rsidR="00777E9D" w:rsidP="00777E9D">
      <w:pPr>
        <w:ind w:left="360" w:firstLine="360"/>
        <w:rPr>
          <w:rFonts w:ascii="Arial" w:eastAsia="Arial" w:hAnsi="Arial" w:cs="Arial"/>
        </w:rPr>
      </w:pPr>
      <w:bookmarkStart w:id="5" w:name="_PAR__2_a7477d02_0335_4aac_9f65_396a6dc9"/>
      <w:bookmarkStart w:id="6" w:name="_BILL_SECTION_UNALLOCATED__67b7bdfc_b474"/>
      <w:bookmarkEnd w:id="0"/>
      <w:bookmarkEnd w:id="1"/>
      <w:r>
        <w:rPr>
          <w:rFonts w:ascii="Arial" w:eastAsia="Arial" w:hAnsi="Arial" w:cs="Arial"/>
          <w:b/>
          <w:sz w:val="24"/>
        </w:rPr>
        <w:t xml:space="preserve">Sec. </w:t>
      </w:r>
      <w:bookmarkStart w:id="7" w:name="_BILL_SECTION_NUMBER__137135b1_0f70_44fb"/>
      <w:r>
        <w:rPr>
          <w:rFonts w:ascii="Arial" w:eastAsia="Arial" w:hAnsi="Arial" w:cs="Arial"/>
          <w:b/>
          <w:sz w:val="24"/>
        </w:rPr>
        <w:t>2</w:t>
      </w:r>
      <w:bookmarkEnd w:id="7"/>
      <w:r>
        <w:rPr>
          <w:rFonts w:ascii="Arial" w:eastAsia="Arial" w:hAnsi="Arial" w:cs="Arial"/>
          <w:b/>
          <w:sz w:val="24"/>
        </w:rPr>
        <w:t xml:space="preserve">.  </w:t>
      </w:r>
      <w:r w:rsidRPr="00DF4A09">
        <w:rPr>
          <w:rFonts w:ascii="Arial" w:eastAsia="Arial" w:hAnsi="Arial" w:cs="Arial"/>
          <w:b/>
          <w:sz w:val="24"/>
        </w:rPr>
        <w:t>Report.  Resolved:</w:t>
      </w:r>
      <w:r>
        <w:rPr>
          <w:rFonts w:ascii="Arial" w:eastAsia="Arial" w:hAnsi="Arial" w:cs="Arial"/>
        </w:rPr>
        <w:t xml:space="preserve">  </w:t>
      </w:r>
      <w:r w:rsidRPr="00DF4A09">
        <w:rPr>
          <w:rFonts w:ascii="Arial" w:eastAsia="Arial" w:hAnsi="Arial" w:cs="Arial"/>
        </w:rPr>
        <w:t>That the State Fire Marshal shall present the findings and recommendations of the task force to the Joint Standing Committee on Criminal Justice and Public Safety by December 1, 2021.  The joint standing committee may report out legislation based on the recommendations in the report to the Second Regular Session of the 130th Legislature.</w:t>
      </w:r>
      <w:bookmarkStart w:id="8" w:name="_PAR__12_feca6012_1db3_42da_94bc_5192926"/>
      <w:bookmarkEnd w:id="5"/>
    </w:p>
    <w:p w:rsidR="00000000" w:rsidP="00777E9D">
      <w:pPr>
        <w:ind w:left="360" w:firstLine="360"/>
        <w:rPr>
          <w:rFonts w:ascii="Arial" w:eastAsia="Arial" w:hAnsi="Arial" w:cs="Arial"/>
        </w:rPr>
      </w:pPr>
      <w:bookmarkStart w:id="9" w:name="_BILL_SECTION_UNALLOCATED__c9dbe219_2efd"/>
      <w:bookmarkStart w:id="10" w:name="_PAR__13_77a1d04e_3e58_4232_882c_2923df0"/>
      <w:bookmarkEnd w:id="6"/>
      <w:bookmarkEnd w:id="8"/>
      <w:r>
        <w:rPr>
          <w:rFonts w:ascii="Arial" w:eastAsia="Arial" w:hAnsi="Arial" w:cs="Arial"/>
          <w:b/>
          <w:sz w:val="24"/>
        </w:rPr>
        <w:t xml:space="preserve">Sec. </w:t>
      </w:r>
      <w:bookmarkStart w:id="11" w:name="_BILL_SECTION_NUMBER__b0856749_9eab_4213"/>
      <w:r>
        <w:rPr>
          <w:rFonts w:ascii="Arial" w:eastAsia="Arial" w:hAnsi="Arial" w:cs="Arial"/>
          <w:b/>
          <w:sz w:val="24"/>
        </w:rPr>
        <w:t>3</w:t>
      </w:r>
      <w:bookmarkEnd w:id="11"/>
      <w:r>
        <w:rPr>
          <w:rFonts w:ascii="Arial" w:eastAsia="Arial" w:hAnsi="Arial" w:cs="Arial"/>
          <w:b/>
          <w:sz w:val="24"/>
        </w:rPr>
        <w:t xml:space="preserve">.  </w:t>
      </w:r>
      <w:r w:rsidRPr="00DF4A09">
        <w:rPr>
          <w:rFonts w:ascii="Arial" w:eastAsia="Arial" w:hAnsi="Arial" w:cs="Arial"/>
          <w:b/>
          <w:sz w:val="24"/>
        </w:rPr>
        <w:t>Funding.  Resolved:</w:t>
      </w:r>
      <w:r>
        <w:rPr>
          <w:rFonts w:ascii="Arial" w:eastAsia="Arial" w:hAnsi="Arial" w:cs="Arial"/>
        </w:rPr>
        <w:t xml:space="preserve">  </w:t>
      </w:r>
      <w:r w:rsidRPr="00DF4A09">
        <w:rPr>
          <w:rFonts w:ascii="Arial" w:eastAsia="Arial" w:hAnsi="Arial" w:cs="Arial"/>
        </w:rPr>
        <w:t>That the costs to the Department of Public Safety, Office of the State Fire Marshal to convene and staff the task force and to report to the Legislature must be absorbed within the department's existing budgeted resources.</w:t>
      </w:r>
      <w:bookmarkEnd w:id="2"/>
      <w:bookmarkEnd w:id="3"/>
      <w:bookmarkEnd w:id="9"/>
      <w:bookmarkEnd w:id="1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LR0861,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Study Incentives for Residential Fire Sprinkler Systems</w:t>
    </w:r>
  </w:p>
  <w:p>
    <w:pPr>
      <w:suppressLineNumbers/>
      <w:spacing w:before="0" w:after="0"/>
      <w:jc w:val="center"/>
      <w:rPr>
        <w:rFonts w:ascii="Arial" w:eastAsia="Arial" w:hAnsi="Arial" w:cs="Arial"/>
      </w:rPr>
    </w:pPr>
    <w:r>
      <w:rPr>
        <w:rFonts w:ascii="Arial" w:eastAsia="Arial" w:hAnsi="Arial" w:cs="Arial"/>
        <w:sz w:val="22"/>
      </w:rPr>
      <w:t>L.D. 1364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7E9D"/>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4A09"/>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