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Reporting on Spending for Behavioral Health Care Services and To Clarify Requirements for Credentialing by Health Insurance Carriers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874 - L.D. 1196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Reporting on Spending for Behavioral Health Care Services and To Clarify Requirements for Credentialing by Health Insurance Carriers</w:t>
      </w:r>
    </w:p>
    <w:p w:rsidR="00C12DE8" w:rsidP="00C12DE8">
      <w:pPr>
        <w:ind w:left="360"/>
        <w:rPr>
          <w:rFonts w:ascii="Arial" w:eastAsia="Arial" w:hAnsi="Arial" w:cs="Arial"/>
        </w:rPr>
      </w:pPr>
      <w:bookmarkStart w:id="0" w:name="_ENACTING_CLAUSE__aaa867fd_4f9d_43d7_9fa"/>
      <w:bookmarkStart w:id="1" w:name="_PAR__1_e9fc393c_4de1_4341_a30a_b7cfc41c"/>
      <w:bookmarkStart w:id="2" w:name="_DOC_BODY_CONTAINER__ed97c644_9bb4_41fd_"/>
      <w:r>
        <w:rPr>
          <w:rFonts w:ascii="Arial" w:eastAsia="Arial" w:hAnsi="Arial" w:cs="Arial"/>
          <w:b/>
        </w:rPr>
        <w:t>Be it enacted by the People of the State of Maine as follows:</w:t>
      </w:r>
    </w:p>
    <w:p w:rsidR="00C12DE8" w:rsidP="00C12DE8">
      <w:pPr>
        <w:ind w:left="360"/>
        <w:jc w:val="center"/>
        <w:rPr>
          <w:rFonts w:ascii="Arial" w:eastAsia="Arial" w:hAnsi="Arial" w:cs="Arial"/>
        </w:rPr>
      </w:pPr>
      <w:bookmarkStart w:id="3" w:name="_BILL_PART_HEADER__ac093590_2ce1_4d2a_94"/>
      <w:bookmarkStart w:id="4" w:name="_BILL_PART__09f9e33e_add2_49a5_bba0_2683"/>
      <w:bookmarkStart w:id="5" w:name="_INSTRUCTION__816b6a49_ba7f_4a81_a620_47"/>
      <w:bookmarkStart w:id="6" w:name="_DOC_BODY_CONTENT__f11d09ed_cf80_4aca_b9"/>
      <w:bookmarkEnd w:id="0"/>
      <w:bookmarkEnd w:id="1"/>
      <w:r>
        <w:rPr>
          <w:rFonts w:ascii="Arial" w:eastAsia="Arial" w:hAnsi="Arial" w:cs="Arial"/>
          <w:b/>
          <w:sz w:val="24"/>
        </w:rPr>
        <w:t xml:space="preserve">PART </w:t>
      </w:r>
      <w:bookmarkStart w:id="7" w:name="_BILL_PART_LETTER__dec928fd_c0d9_453d_b9"/>
      <w:r>
        <w:rPr>
          <w:rFonts w:ascii="Arial" w:eastAsia="Arial" w:hAnsi="Arial" w:cs="Arial"/>
          <w:b/>
          <w:sz w:val="24"/>
        </w:rPr>
        <w:t>A</w:t>
      </w:r>
      <w:bookmarkEnd w:id="3"/>
      <w:bookmarkEnd w:id="7"/>
    </w:p>
    <w:p w:rsidR="00C12DE8" w:rsidP="00C12DE8">
      <w:pPr>
        <w:ind w:left="360" w:firstLine="360"/>
        <w:rPr>
          <w:rFonts w:ascii="Arial" w:eastAsia="Arial" w:hAnsi="Arial" w:cs="Arial"/>
        </w:rPr>
      </w:pPr>
      <w:bookmarkStart w:id="8" w:name="_BILL_SECTION_HEADER__7d3c9d40_f79d_4543"/>
      <w:bookmarkStart w:id="9" w:name="_BILL_SECTION__bc65772e_cfe8_4bbc_82aa_d"/>
      <w:r>
        <w:rPr>
          <w:rFonts w:ascii="Arial" w:eastAsia="Arial" w:hAnsi="Arial" w:cs="Arial"/>
          <w:b/>
          <w:sz w:val="24"/>
        </w:rPr>
        <w:t xml:space="preserve">Sec. </w:t>
      </w:r>
      <w:bookmarkStart w:id="10" w:name="_BILL_PART_LETTER__f39f95da_a0f6_44ae_ba"/>
      <w:r>
        <w:rPr>
          <w:rFonts w:ascii="Arial" w:eastAsia="Arial" w:hAnsi="Arial" w:cs="Arial"/>
          <w:b/>
          <w:sz w:val="24"/>
        </w:rPr>
        <w:t>A</w:t>
      </w:r>
      <w:bookmarkEnd w:id="10"/>
      <w:r>
        <w:rPr>
          <w:rFonts w:ascii="Arial" w:eastAsia="Arial" w:hAnsi="Arial" w:cs="Arial"/>
          <w:b/>
          <w:sz w:val="24"/>
        </w:rPr>
        <w:t>-</w:t>
      </w:r>
      <w:bookmarkStart w:id="11" w:name="_BILL_SECTION_NUMBER__74db39d9_1dad_4837"/>
      <w:r>
        <w:rPr>
          <w:rFonts w:ascii="Arial" w:eastAsia="Arial" w:hAnsi="Arial" w:cs="Arial"/>
          <w:b/>
          <w:sz w:val="24"/>
        </w:rPr>
        <w:t>1</w:t>
      </w:r>
      <w:bookmarkEnd w:id="11"/>
      <w:r>
        <w:rPr>
          <w:rFonts w:ascii="Arial" w:eastAsia="Arial" w:hAnsi="Arial" w:cs="Arial"/>
          <w:b/>
          <w:sz w:val="24"/>
        </w:rPr>
        <w:t>.  24-A MRSA §6903, sub-§1-A</w:t>
      </w:r>
      <w:r>
        <w:rPr>
          <w:rFonts w:ascii="Arial" w:eastAsia="Arial" w:hAnsi="Arial" w:cs="Arial"/>
        </w:rPr>
        <w:t xml:space="preserve"> is enacted to read:</w:t>
      </w:r>
    </w:p>
    <w:p w:rsidR="00C12DE8" w:rsidP="00C12DE8">
      <w:pPr>
        <w:ind w:left="360" w:firstLine="360"/>
        <w:rPr>
          <w:rFonts w:ascii="Arial" w:eastAsia="Arial" w:hAnsi="Arial" w:cs="Arial"/>
        </w:rPr>
      </w:pPr>
      <w:bookmarkStart w:id="12" w:name="_STATUTE_NUMBER__28fa2e2a_d055_4f47_8962"/>
      <w:bookmarkStart w:id="13" w:name="_STATUTE_SS__f848efab_ffae_461e_bfe8_f22"/>
      <w:bookmarkStart w:id="14" w:name="_REV__5aa7733b_79a2_41c1_bb3d_1c09eb44da"/>
      <w:bookmarkStart w:id="15" w:name="_PROCESSED_CHANGE__6dfe3118_9441_44b7_97"/>
      <w:bookmarkStart w:id="16" w:name="_PROCESSED_CHANGE__8657fa87_f5a5_43a6_8f"/>
      <w:bookmarkEnd w:id="8"/>
      <w:r>
        <w:rPr>
          <w:rFonts w:ascii="Arial" w:eastAsia="Arial" w:hAnsi="Arial" w:cs="Arial"/>
          <w:b/>
          <w:u w:val="single"/>
        </w:rPr>
        <w:t>1-A</w:t>
      </w:r>
      <w:bookmarkEnd w:id="12"/>
      <w:r>
        <w:rPr>
          <w:rFonts w:ascii="Arial" w:eastAsia="Arial" w:hAnsi="Arial" w:cs="Arial"/>
          <w:b/>
          <w:u w:val="single"/>
        </w:rPr>
        <w:t xml:space="preserve">.  </w:t>
      </w:r>
      <w:bookmarkStart w:id="17" w:name="_STATUTE_HEADNOTE__51e5e41f_20f9_40cb_8a"/>
      <w:r>
        <w:rPr>
          <w:rFonts w:ascii="Arial" w:eastAsia="Arial" w:hAnsi="Arial" w:cs="Arial"/>
          <w:b/>
          <w:u w:val="single"/>
        </w:rPr>
        <w:t xml:space="preserve">Behavioral health care. </w:t>
      </w:r>
      <w:r>
        <w:rPr>
          <w:rFonts w:ascii="Arial" w:eastAsia="Arial" w:hAnsi="Arial" w:cs="Arial"/>
          <w:u w:val="single"/>
        </w:rPr>
        <w:t xml:space="preserve"> </w:t>
      </w:r>
      <w:bookmarkStart w:id="18" w:name="_STATUTE_CONTENT__3d2ccf42_aae1_463f_851"/>
      <w:bookmarkEnd w:id="17"/>
      <w:r>
        <w:rPr>
          <w:rFonts w:ascii="Arial" w:eastAsia="Arial" w:hAnsi="Arial" w:cs="Arial"/>
          <w:u w:val="single"/>
        </w:rPr>
        <w:t>"Behavioral health care" means services to address mental health and substance use conditions.</w:t>
      </w:r>
    </w:p>
    <w:p w:rsidR="00C12DE8" w:rsidP="00C12DE8">
      <w:pPr>
        <w:ind w:left="360" w:firstLine="360"/>
        <w:rPr>
          <w:rFonts w:ascii="Arial" w:eastAsia="Arial" w:hAnsi="Arial" w:cs="Arial"/>
        </w:rPr>
      </w:pPr>
      <w:bookmarkStart w:id="19" w:name="_BILL_SECTION_HEADER__1507f97e_5f84_4b10"/>
      <w:bookmarkStart w:id="20" w:name="_BILL_SECTION__cd4ef192_3a5e_4f2b_88fc_b"/>
      <w:bookmarkEnd w:id="9"/>
      <w:bookmarkEnd w:id="13"/>
      <w:bookmarkEnd w:id="14"/>
      <w:bookmarkEnd w:id="15"/>
      <w:bookmarkEnd w:id="16"/>
      <w:bookmarkEnd w:id="18"/>
      <w:r>
        <w:rPr>
          <w:rFonts w:ascii="Arial" w:eastAsia="Arial" w:hAnsi="Arial" w:cs="Arial"/>
          <w:b/>
          <w:sz w:val="24"/>
        </w:rPr>
        <w:t xml:space="preserve">Sec. </w:t>
      </w:r>
      <w:bookmarkStart w:id="21" w:name="_BILL_PART_LETTER__dd43d7eb_6fc2_4168_80"/>
      <w:r>
        <w:rPr>
          <w:rFonts w:ascii="Arial" w:eastAsia="Arial" w:hAnsi="Arial" w:cs="Arial"/>
          <w:b/>
          <w:sz w:val="24"/>
        </w:rPr>
        <w:t>A</w:t>
      </w:r>
      <w:bookmarkEnd w:id="21"/>
      <w:r>
        <w:rPr>
          <w:rFonts w:ascii="Arial" w:eastAsia="Arial" w:hAnsi="Arial" w:cs="Arial"/>
          <w:b/>
          <w:sz w:val="24"/>
        </w:rPr>
        <w:t>-</w:t>
      </w:r>
      <w:bookmarkStart w:id="22" w:name="_BILL_SECTION_NUMBER__9a94f8db_8ee8_4874"/>
      <w:r>
        <w:rPr>
          <w:rFonts w:ascii="Arial" w:eastAsia="Arial" w:hAnsi="Arial" w:cs="Arial"/>
          <w:b/>
          <w:sz w:val="24"/>
        </w:rPr>
        <w:t>2</w:t>
      </w:r>
      <w:bookmarkEnd w:id="22"/>
      <w:r>
        <w:rPr>
          <w:rFonts w:ascii="Arial" w:eastAsia="Arial" w:hAnsi="Arial" w:cs="Arial"/>
          <w:b/>
          <w:sz w:val="24"/>
        </w:rPr>
        <w:t>.  24-A MRSA §6951, sub-§13</w:t>
      </w:r>
      <w:r>
        <w:rPr>
          <w:rFonts w:ascii="Arial" w:eastAsia="Arial" w:hAnsi="Arial" w:cs="Arial"/>
        </w:rPr>
        <w:t xml:space="preserve"> is enacted to read:</w:t>
      </w:r>
    </w:p>
    <w:p w:rsidR="00C12DE8" w:rsidP="00C12DE8">
      <w:pPr>
        <w:ind w:left="360" w:firstLine="360"/>
        <w:rPr>
          <w:rFonts w:ascii="Arial" w:eastAsia="Arial" w:hAnsi="Arial" w:cs="Arial"/>
        </w:rPr>
      </w:pPr>
      <w:bookmarkStart w:id="23" w:name="_STATUTE_NUMBER__ad547ed4_a7f2_40d0_840f"/>
      <w:bookmarkStart w:id="24" w:name="_REV__e2ee7d47_7540_4ddb_be99_5c9c83a2ac"/>
      <w:bookmarkStart w:id="25" w:name="_STATUTE_SS__3f516926_21fd_43f9_9c94_20c"/>
      <w:bookmarkStart w:id="26" w:name="_PROCESSED_CHANGE__911acba1_6401_4255_b0"/>
      <w:bookmarkStart w:id="27" w:name="_PROCESSED_CHANGE__b0deb7da_b8c4_4ac3_a4"/>
      <w:bookmarkEnd w:id="19"/>
      <w:r>
        <w:rPr>
          <w:rFonts w:ascii="Arial" w:eastAsia="Arial" w:hAnsi="Arial" w:cs="Arial"/>
          <w:b/>
          <w:u w:val="single"/>
        </w:rPr>
        <w:t>13</w:t>
      </w:r>
      <w:bookmarkEnd w:id="23"/>
      <w:r>
        <w:rPr>
          <w:rFonts w:ascii="Arial" w:eastAsia="Arial" w:hAnsi="Arial" w:cs="Arial"/>
          <w:b/>
          <w:u w:val="single"/>
        </w:rPr>
        <w:t xml:space="preserve">.  </w:t>
      </w:r>
      <w:bookmarkStart w:id="28" w:name="_STATUTE_HEADNOTE__b4880a5c_8d07_406c_b7"/>
      <w:r>
        <w:rPr>
          <w:rFonts w:ascii="Arial" w:eastAsia="Arial" w:hAnsi="Arial" w:cs="Arial"/>
          <w:b/>
          <w:u w:val="single"/>
        </w:rPr>
        <w:t xml:space="preserve">Behavioral health care reporting. </w:t>
      </w:r>
      <w:r>
        <w:rPr>
          <w:rFonts w:ascii="Arial" w:eastAsia="Arial" w:hAnsi="Arial" w:cs="Arial"/>
          <w:u w:val="single"/>
        </w:rPr>
        <w:t xml:space="preserve"> </w:t>
      </w:r>
      <w:bookmarkStart w:id="29" w:name="_STATUTE_CONTENT__59eeed7f_2321_4c68_a52"/>
      <w:bookmarkEnd w:id="28"/>
      <w:r>
        <w:rPr>
          <w:rFonts w:ascii="Arial" w:eastAsia="Arial" w:hAnsi="Arial" w:cs="Arial"/>
          <w:u w:val="single"/>
        </w:rPr>
        <w:t>Beginning January 15, 2023 and annually thereafter, the forum shall submit to the Department of Health and Human Services and the joint standing committee of the Legislature having jurisdiction over health coverage and health insurance matters a report on behavioral health care spending using claims data from the Maine Health Data Organization and information on the methods used to reimburse behavioral health care providers requested annually from payors</w:t>
      </w:r>
      <w:r>
        <w:rPr>
          <w:rFonts w:ascii="Arial" w:eastAsia="Arial" w:hAnsi="Arial" w:cs="Arial"/>
          <w:u w:val="single"/>
        </w:rPr>
        <w:t xml:space="preserve">.  </w:t>
      </w:r>
      <w:r>
        <w:rPr>
          <w:rFonts w:ascii="Arial" w:eastAsia="Arial" w:hAnsi="Arial" w:cs="Arial"/>
          <w:u w:val="single"/>
        </w:rPr>
        <w:t>As used in this subsection</w:t>
      </w:r>
      <w:r>
        <w:rPr>
          <w:rFonts w:ascii="Arial" w:eastAsia="Arial" w:hAnsi="Arial" w:cs="Arial"/>
          <w:u w:val="single"/>
        </w:rPr>
        <w:t xml:space="preserve">, </w:t>
      </w:r>
      <w:r>
        <w:rPr>
          <w:rFonts w:ascii="Arial" w:eastAsia="Arial" w:hAnsi="Arial" w:cs="Arial"/>
          <w:u w:val="single"/>
        </w:rPr>
        <w:t xml:space="preserve">"payor" has the same meaning </w:t>
      </w:r>
      <w:r>
        <w:rPr>
          <w:rFonts w:ascii="Arial" w:eastAsia="Arial" w:hAnsi="Arial" w:cs="Arial"/>
          <w:u w:val="single"/>
        </w:rPr>
        <w:t>as in Title 22, section 8702, subsection 8. The report must include:</w:t>
      </w:r>
    </w:p>
    <w:p w:rsidR="00C12DE8" w:rsidP="00C12DE8">
      <w:pPr>
        <w:ind w:left="720"/>
        <w:rPr>
          <w:rFonts w:ascii="Arial" w:eastAsia="Arial" w:hAnsi="Arial" w:cs="Arial"/>
        </w:rPr>
      </w:pPr>
      <w:bookmarkStart w:id="30" w:name="_STATUTE_NUMBER__f5e11334_61b8_4ca0_9e68"/>
      <w:bookmarkStart w:id="31" w:name="_STATUTE_P__f517bab3_931f_4985_8808_699f"/>
      <w:bookmarkStart w:id="32" w:name="_REV__d05a4633_1ad4_45a0_85ec_56fa645911"/>
      <w:bookmarkEnd w:id="24"/>
      <w:bookmarkEnd w:id="29"/>
      <w:r>
        <w:rPr>
          <w:rFonts w:ascii="Arial" w:eastAsia="Arial" w:hAnsi="Arial" w:cs="Arial"/>
          <w:u w:val="single"/>
        </w:rPr>
        <w:t>A</w:t>
      </w:r>
      <w:bookmarkEnd w:id="30"/>
      <w:r>
        <w:rPr>
          <w:rFonts w:ascii="Arial" w:eastAsia="Arial" w:hAnsi="Arial" w:cs="Arial"/>
          <w:u w:val="single"/>
        </w:rPr>
        <w:t xml:space="preserve">.  </w:t>
      </w:r>
      <w:bookmarkStart w:id="33" w:name="_STATUTE_CONTENT__86104603_af2f_4605_bf7"/>
      <w:r>
        <w:rPr>
          <w:rFonts w:ascii="Arial" w:eastAsia="Arial" w:hAnsi="Arial" w:cs="Arial"/>
          <w:u w:val="single"/>
        </w:rPr>
        <w:t>Of their respective total medical expenditures, the percentage paid for behavioral health care by commercial insurers, the MaineCare program, Medicare, the organization that administers health insurance for state employees and the Maine Education Association benefits trust and the average percentage of total medical expenditures paid for behavioral health care across all payors;</w:t>
      </w:r>
    </w:p>
    <w:p w:rsidR="00C12DE8" w:rsidP="00C12DE8">
      <w:pPr>
        <w:ind w:left="720"/>
        <w:rPr>
          <w:rFonts w:ascii="Arial" w:eastAsia="Arial" w:hAnsi="Arial" w:cs="Arial"/>
        </w:rPr>
      </w:pPr>
      <w:bookmarkStart w:id="34" w:name="_STATUTE_NUMBER__34e5786f_6eca_4496_8fed"/>
      <w:bookmarkStart w:id="35" w:name="_STATUTE_P__cd2b9600_80bd_45d5_abf9_ab46"/>
      <w:bookmarkStart w:id="36" w:name="_REV__9fb79322_4f92_413e_991f_3d8ea2e26d"/>
      <w:bookmarkEnd w:id="31"/>
      <w:bookmarkEnd w:id="32"/>
      <w:bookmarkEnd w:id="33"/>
      <w:r>
        <w:rPr>
          <w:rFonts w:ascii="Arial" w:eastAsia="Arial" w:hAnsi="Arial" w:cs="Arial"/>
          <w:u w:val="single"/>
        </w:rPr>
        <w:t>B</w:t>
      </w:r>
      <w:bookmarkEnd w:id="34"/>
      <w:r>
        <w:rPr>
          <w:rFonts w:ascii="Arial" w:eastAsia="Arial" w:hAnsi="Arial" w:cs="Arial"/>
          <w:u w:val="single"/>
        </w:rPr>
        <w:t xml:space="preserve">.  </w:t>
      </w:r>
      <w:bookmarkStart w:id="37" w:name="_STATUTE_CONTENT__3da0e84f_ec58_4920_a41"/>
      <w:r>
        <w:rPr>
          <w:rFonts w:ascii="Arial" w:eastAsia="Arial" w:hAnsi="Arial" w:cs="Arial"/>
          <w:u w:val="single"/>
        </w:rPr>
        <w:t>The total behavioral health care-related nonclaims-based payments and associated member months;</w:t>
      </w:r>
    </w:p>
    <w:p w:rsidR="00C12DE8" w:rsidP="00C12DE8">
      <w:pPr>
        <w:ind w:left="720"/>
        <w:rPr>
          <w:rFonts w:ascii="Arial" w:eastAsia="Arial" w:hAnsi="Arial" w:cs="Arial"/>
        </w:rPr>
      </w:pPr>
      <w:bookmarkStart w:id="38" w:name="_STATUTE_NUMBER__4474f669_0067_4bd8_8b9a"/>
      <w:bookmarkStart w:id="39" w:name="_STATUTE_P__3a66b08f_95bb_468f_9822_771a"/>
      <w:bookmarkStart w:id="40" w:name="_REV__e4f5e836_66e4_4290_88fa_ff61e64858"/>
      <w:bookmarkEnd w:id="35"/>
      <w:bookmarkEnd w:id="36"/>
      <w:bookmarkEnd w:id="37"/>
      <w:r>
        <w:rPr>
          <w:rFonts w:ascii="Arial" w:eastAsia="Arial" w:hAnsi="Arial" w:cs="Arial"/>
          <w:u w:val="single"/>
        </w:rPr>
        <w:t>C</w:t>
      </w:r>
      <w:bookmarkEnd w:id="38"/>
      <w:r>
        <w:rPr>
          <w:rFonts w:ascii="Arial" w:eastAsia="Arial" w:hAnsi="Arial" w:cs="Arial"/>
          <w:u w:val="single"/>
        </w:rPr>
        <w:t xml:space="preserve">.  </w:t>
      </w:r>
      <w:bookmarkStart w:id="41" w:name="_STATUTE_CONTENT__ac8b8850_1759_4e37_a08"/>
      <w:r>
        <w:rPr>
          <w:rFonts w:ascii="Arial" w:eastAsia="Arial" w:hAnsi="Arial" w:cs="Arial"/>
          <w:u w:val="single"/>
        </w:rPr>
        <w:t xml:space="preserve">The total payments associated with substance use disorder services that are redacted from the payor’s claims data submissions to the </w:t>
      </w:r>
      <w:r>
        <w:rPr>
          <w:rFonts w:ascii="Arial" w:eastAsia="Arial" w:hAnsi="Arial" w:cs="Arial"/>
          <w:u w:val="single"/>
        </w:rPr>
        <w:t>Maine Hea</w:t>
      </w:r>
      <w:r>
        <w:rPr>
          <w:rFonts w:ascii="Arial" w:eastAsia="Arial" w:hAnsi="Arial" w:cs="Arial"/>
          <w:u w:val="single"/>
        </w:rPr>
        <w:t>lth Data O</w:t>
      </w:r>
      <w:r>
        <w:rPr>
          <w:rFonts w:ascii="Arial" w:eastAsia="Arial" w:hAnsi="Arial" w:cs="Arial"/>
          <w:u w:val="single"/>
        </w:rPr>
        <w:t xml:space="preserve">rganization as required under </w:t>
      </w:r>
      <w:r>
        <w:rPr>
          <w:rFonts w:ascii="Arial" w:eastAsia="Arial" w:hAnsi="Arial" w:cs="Arial"/>
          <w:u w:val="single"/>
        </w:rPr>
        <w:t>42</w:t>
      </w:r>
      <w:r>
        <w:rPr>
          <w:rFonts w:ascii="Arial" w:eastAsia="Arial" w:hAnsi="Arial" w:cs="Arial"/>
          <w:u w:val="single"/>
        </w:rPr>
        <w:t xml:space="preserve"> Code of Federal Regulations, Part 2</w:t>
      </w:r>
      <w:r>
        <w:rPr>
          <w:rFonts w:ascii="Arial" w:eastAsia="Arial" w:hAnsi="Arial" w:cs="Arial"/>
          <w:u w:val="single"/>
        </w:rPr>
        <w:t>,</w:t>
      </w:r>
      <w:r>
        <w:rPr>
          <w:rFonts w:ascii="Arial" w:eastAsia="Arial" w:hAnsi="Arial" w:cs="Arial"/>
          <w:u w:val="single"/>
        </w:rPr>
        <w:t xml:space="preserve"> the </w:t>
      </w:r>
      <w:r>
        <w:rPr>
          <w:rFonts w:ascii="Arial" w:eastAsia="Arial" w:hAnsi="Arial" w:cs="Arial"/>
          <w:u w:val="single"/>
        </w:rPr>
        <w:t>methods</w:t>
      </w:r>
      <w:r>
        <w:rPr>
          <w:rFonts w:ascii="Arial" w:eastAsia="Arial" w:hAnsi="Arial" w:cs="Arial"/>
          <w:u w:val="single"/>
        </w:rPr>
        <w:t xml:space="preserve"> used to redact the substance use disorder claims, </w:t>
      </w:r>
      <w:r>
        <w:rPr>
          <w:rFonts w:ascii="Arial" w:eastAsia="Arial" w:hAnsi="Arial" w:cs="Arial"/>
          <w:u w:val="single"/>
        </w:rPr>
        <w:t xml:space="preserve">the </w:t>
      </w:r>
      <w:r>
        <w:rPr>
          <w:rFonts w:ascii="Arial" w:eastAsia="Arial" w:hAnsi="Arial" w:cs="Arial"/>
          <w:u w:val="single"/>
        </w:rPr>
        <w:t>specific code lists that are used for procedure codes, revenue codes</w:t>
      </w:r>
      <w:r>
        <w:rPr>
          <w:rFonts w:ascii="Arial" w:eastAsia="Arial" w:hAnsi="Arial" w:cs="Arial"/>
          <w:u w:val="single"/>
        </w:rPr>
        <w:t xml:space="preserve"> and</w:t>
      </w:r>
      <w:r>
        <w:rPr>
          <w:rFonts w:ascii="Arial" w:eastAsia="Arial" w:hAnsi="Arial" w:cs="Arial"/>
          <w:u w:val="single"/>
        </w:rPr>
        <w:t xml:space="preserve"> diagno</w:t>
      </w:r>
      <w:r>
        <w:rPr>
          <w:rFonts w:ascii="Arial" w:eastAsia="Arial" w:hAnsi="Arial" w:cs="Arial"/>
          <w:u w:val="single"/>
        </w:rPr>
        <w:t>si</w:t>
      </w:r>
      <w:r>
        <w:rPr>
          <w:rFonts w:ascii="Arial" w:eastAsia="Arial" w:hAnsi="Arial" w:cs="Arial"/>
          <w:u w:val="single"/>
        </w:rPr>
        <w:t>s codes, provider types and any other detail on the claim that is required to select the substance use disorder redacted claim; and</w:t>
      </w:r>
    </w:p>
    <w:p w:rsidR="00C12DE8" w:rsidP="00C12DE8">
      <w:pPr>
        <w:ind w:left="720"/>
        <w:rPr>
          <w:rFonts w:ascii="Arial" w:eastAsia="Arial" w:hAnsi="Arial" w:cs="Arial"/>
        </w:rPr>
      </w:pPr>
      <w:bookmarkStart w:id="42" w:name="_STATUTE_NUMBER__82b0a518_6477_434b_96f4"/>
      <w:bookmarkStart w:id="43" w:name="_STATUTE_P__888d9a58_300a_4b85_8edb_6486"/>
      <w:bookmarkStart w:id="44" w:name="_REV__6920ee6d_1232_4718_9ab7_e4d9fe1b25"/>
      <w:bookmarkEnd w:id="39"/>
      <w:bookmarkEnd w:id="40"/>
      <w:bookmarkEnd w:id="41"/>
      <w:r>
        <w:rPr>
          <w:rFonts w:ascii="Arial" w:eastAsia="Arial" w:hAnsi="Arial" w:cs="Arial"/>
          <w:u w:val="single"/>
        </w:rPr>
        <w:t>D</w:t>
      </w:r>
      <w:bookmarkEnd w:id="42"/>
      <w:r>
        <w:rPr>
          <w:rFonts w:ascii="Arial" w:eastAsia="Arial" w:hAnsi="Arial" w:cs="Arial"/>
          <w:u w:val="single"/>
        </w:rPr>
        <w:t xml:space="preserve">.  </w:t>
      </w:r>
      <w:bookmarkStart w:id="45" w:name="_STATUTE_CONTENT__e3b49b01_64e8_49e9_b14"/>
      <w:r>
        <w:rPr>
          <w:rFonts w:ascii="Arial" w:eastAsia="Arial" w:hAnsi="Arial" w:cs="Arial"/>
          <w:u w:val="single"/>
        </w:rPr>
        <w:t>The methods used by commercial insurers, the MaineCare program, Medicare, the organization that administers health insurance for state employees and the Maine Education Association benefits trust to pay for behavioral health care.</w:t>
      </w:r>
    </w:p>
    <w:p w:rsidR="00C12DE8" w:rsidP="00C12DE8">
      <w:pPr>
        <w:ind w:left="360"/>
        <w:rPr>
          <w:rFonts w:ascii="Arial" w:eastAsia="Arial" w:hAnsi="Arial" w:cs="Arial"/>
        </w:rPr>
      </w:pPr>
      <w:bookmarkStart w:id="46" w:name="_STATUTE_P__81a56ddd_8dc1_44a2_a7a6_a457"/>
      <w:bookmarkStart w:id="47" w:name="_STATUTE_CONTENT__8f7793ab_0ecc_479c_a53"/>
      <w:bookmarkStart w:id="48" w:name="_REV__a79a38a5_57c4_4ffa_a72e_2e30260feb"/>
      <w:bookmarkEnd w:id="43"/>
      <w:bookmarkEnd w:id="44"/>
      <w:bookmarkEnd w:id="45"/>
      <w:r>
        <w:rPr>
          <w:rFonts w:ascii="Arial" w:eastAsia="Arial" w:hAnsi="Arial" w:cs="Arial"/>
          <w:u w:val="single"/>
        </w:rPr>
        <w:t xml:space="preserve">Within 60 days of a request from the </w:t>
      </w:r>
      <w:r>
        <w:rPr>
          <w:rFonts w:ascii="Arial" w:eastAsia="Arial" w:hAnsi="Arial" w:cs="Arial"/>
          <w:u w:val="single"/>
        </w:rPr>
        <w:t>Maine Health Data O</w:t>
      </w:r>
      <w:r>
        <w:rPr>
          <w:rFonts w:ascii="Arial" w:eastAsia="Arial" w:hAnsi="Arial" w:cs="Arial"/>
          <w:u w:val="single"/>
        </w:rPr>
        <w:t xml:space="preserve">rganization, a payor shall provide the supplemental datasets specific to payments for behavioral health care services necessary to provide the information required in paragraphs B and C. In its request to a payor, the organization shall specify the time period for which the data is requested and </w:t>
      </w:r>
      <w:r>
        <w:rPr>
          <w:rFonts w:ascii="Arial" w:eastAsia="Arial" w:hAnsi="Arial" w:cs="Arial"/>
          <w:u w:val="single"/>
        </w:rPr>
        <w:t xml:space="preserve">define </w:t>
      </w:r>
      <w:r>
        <w:rPr>
          <w:rFonts w:ascii="Arial" w:eastAsia="Arial" w:hAnsi="Arial" w:cs="Arial"/>
          <w:u w:val="single"/>
        </w:rPr>
        <w:t>the datasets requested to ensure uniformity in the data submitted by payors.</w:t>
      </w:r>
    </w:p>
    <w:p w:rsidR="00C12DE8" w:rsidP="00C12DE8">
      <w:pPr>
        <w:ind w:left="360" w:firstLine="360"/>
        <w:rPr>
          <w:rFonts w:ascii="Arial" w:eastAsia="Arial" w:hAnsi="Arial" w:cs="Arial"/>
        </w:rPr>
      </w:pPr>
      <w:bookmarkStart w:id="49" w:name="_BILL_SECTION_UNALLOCATED__c85cb55b_4df1"/>
      <w:bookmarkEnd w:id="20"/>
      <w:bookmarkEnd w:id="25"/>
      <w:bookmarkEnd w:id="26"/>
      <w:bookmarkEnd w:id="27"/>
      <w:bookmarkEnd w:id="46"/>
      <w:bookmarkEnd w:id="47"/>
      <w:bookmarkEnd w:id="48"/>
      <w:r>
        <w:rPr>
          <w:rFonts w:ascii="Arial" w:eastAsia="Arial" w:hAnsi="Arial" w:cs="Arial"/>
          <w:b/>
          <w:sz w:val="24"/>
        </w:rPr>
        <w:t xml:space="preserve">Sec. </w:t>
      </w:r>
      <w:bookmarkStart w:id="50" w:name="_BILL_PART_LETTER__35d7a3cd_8a7e_4840_aa"/>
      <w:r>
        <w:rPr>
          <w:rFonts w:ascii="Arial" w:eastAsia="Arial" w:hAnsi="Arial" w:cs="Arial"/>
          <w:b/>
          <w:sz w:val="24"/>
        </w:rPr>
        <w:t>A</w:t>
      </w:r>
      <w:bookmarkEnd w:id="50"/>
      <w:r>
        <w:rPr>
          <w:rFonts w:ascii="Arial" w:eastAsia="Arial" w:hAnsi="Arial" w:cs="Arial"/>
          <w:b/>
          <w:sz w:val="24"/>
        </w:rPr>
        <w:t>-</w:t>
      </w:r>
      <w:bookmarkStart w:id="51" w:name="_BILL_SECTION_NUMBER__1d5fa4b8_ac46_4cf7"/>
      <w:r>
        <w:rPr>
          <w:rFonts w:ascii="Arial" w:eastAsia="Arial" w:hAnsi="Arial" w:cs="Arial"/>
          <w:b/>
          <w:sz w:val="24"/>
        </w:rPr>
        <w:t>3</w:t>
      </w:r>
      <w:bookmarkEnd w:id="51"/>
      <w:r>
        <w:rPr>
          <w:rFonts w:ascii="Arial" w:eastAsia="Arial" w:hAnsi="Arial" w:cs="Arial"/>
          <w:b/>
          <w:sz w:val="24"/>
        </w:rPr>
        <w:t>.</w:t>
      </w:r>
      <w:r>
        <w:rPr>
          <w:rFonts w:ascii="Arial" w:eastAsia="Arial" w:hAnsi="Arial" w:cs="Arial"/>
        </w:rPr>
        <w:t xml:space="preserve">  </w:t>
      </w:r>
      <w:r w:rsidRPr="00C87AE4">
        <w:rPr>
          <w:rFonts w:ascii="Arial" w:eastAsia="Arial" w:hAnsi="Arial" w:cs="Arial"/>
          <w:b/>
          <w:sz w:val="24"/>
          <w:szCs w:val="24"/>
        </w:rPr>
        <w:t>Maine Quality Forum to conduct health spending reporting study.</w:t>
      </w:r>
      <w:r w:rsidRPr="00C87AE4">
        <w:rPr>
          <w:rFonts w:ascii="Arial" w:eastAsia="Arial" w:hAnsi="Arial" w:cs="Arial"/>
        </w:rPr>
        <w:t xml:space="preserve"> </w:t>
      </w:r>
      <w:r>
        <w:rPr>
          <w:rFonts w:ascii="Arial" w:eastAsia="Arial" w:hAnsi="Arial" w:cs="Arial"/>
        </w:rPr>
        <w:t xml:space="preserve"> </w:t>
      </w:r>
      <w:r w:rsidRPr="00C87AE4">
        <w:rPr>
          <w:rFonts w:ascii="Arial" w:eastAsia="Arial" w:hAnsi="Arial" w:cs="Arial"/>
        </w:rPr>
        <w:t xml:space="preserve">The Maine Quality Forum, established in the Maine Revised Statutes, Title 24-A, section 6951, shall consult with other state and national agencies and organizations to determine the best practices for reporting spending on behavioral health care by insurers. </w:t>
      </w:r>
      <w:r>
        <w:rPr>
          <w:rFonts w:ascii="Arial" w:eastAsia="Arial" w:hAnsi="Arial" w:cs="Arial"/>
        </w:rPr>
        <w:t xml:space="preserve"> </w:t>
      </w:r>
      <w:r w:rsidRPr="00C87AE4">
        <w:rPr>
          <w:rFonts w:ascii="Arial" w:eastAsia="Arial" w:hAnsi="Arial" w:cs="Arial"/>
        </w:rPr>
        <w:t>For purposes of this section, "behavioral health care" means services to address mental health and substance use conditions.</w:t>
      </w:r>
    </w:p>
    <w:p w:rsidR="00C12DE8" w:rsidP="00C12DE8">
      <w:pPr>
        <w:ind w:left="360"/>
        <w:jc w:val="center"/>
        <w:rPr>
          <w:rFonts w:ascii="Arial" w:eastAsia="Arial" w:hAnsi="Arial" w:cs="Arial"/>
        </w:rPr>
      </w:pPr>
      <w:bookmarkStart w:id="52" w:name="_BILL_PART_HEADER__d0ebf7e3_abe5_4c99_b8"/>
      <w:bookmarkStart w:id="53" w:name="_BILL_PART__627ad2cb_303f_4b32_8b60_83b5"/>
      <w:bookmarkEnd w:id="4"/>
      <w:bookmarkEnd w:id="49"/>
      <w:r>
        <w:rPr>
          <w:rFonts w:ascii="Arial" w:eastAsia="Arial" w:hAnsi="Arial" w:cs="Arial"/>
          <w:b/>
          <w:sz w:val="24"/>
        </w:rPr>
        <w:t xml:space="preserve">PART </w:t>
      </w:r>
      <w:bookmarkStart w:id="54" w:name="_BILL_PART_LETTER__58d7f428_5343_4b13_b6"/>
      <w:r>
        <w:rPr>
          <w:rFonts w:ascii="Arial" w:eastAsia="Arial" w:hAnsi="Arial" w:cs="Arial"/>
          <w:b/>
          <w:sz w:val="24"/>
        </w:rPr>
        <w:t>B</w:t>
      </w:r>
      <w:bookmarkEnd w:id="52"/>
      <w:bookmarkEnd w:id="54"/>
    </w:p>
    <w:p w:rsidR="00C12DE8" w:rsidP="00C12DE8">
      <w:pPr>
        <w:ind w:left="360" w:firstLine="360"/>
        <w:rPr>
          <w:rFonts w:ascii="Arial" w:eastAsia="Arial" w:hAnsi="Arial" w:cs="Arial"/>
        </w:rPr>
      </w:pPr>
      <w:bookmarkStart w:id="55" w:name="_BILL_SECTION_HEADER__7b4dd7d1_34c1_456c"/>
      <w:bookmarkStart w:id="56" w:name="_BILL_SECTION__1a4c60eb_2027_4dbc_ad75_6"/>
      <w:r>
        <w:rPr>
          <w:rFonts w:ascii="Arial" w:eastAsia="Arial" w:hAnsi="Arial" w:cs="Arial"/>
          <w:b/>
          <w:sz w:val="24"/>
        </w:rPr>
        <w:t xml:space="preserve">Sec. </w:t>
      </w:r>
      <w:bookmarkStart w:id="57" w:name="_BILL_PART_LETTER__5f2b1962_f06b_47db_96"/>
      <w:r>
        <w:rPr>
          <w:rFonts w:ascii="Arial" w:eastAsia="Arial" w:hAnsi="Arial" w:cs="Arial"/>
          <w:b/>
          <w:sz w:val="24"/>
        </w:rPr>
        <w:t>B</w:t>
      </w:r>
      <w:bookmarkEnd w:id="57"/>
      <w:r>
        <w:rPr>
          <w:rFonts w:ascii="Arial" w:eastAsia="Arial" w:hAnsi="Arial" w:cs="Arial"/>
          <w:b/>
          <w:sz w:val="24"/>
        </w:rPr>
        <w:t>-</w:t>
      </w:r>
      <w:bookmarkStart w:id="58" w:name="_BILL_SECTION_NUMBER__82c7e1fc_c467_475b"/>
      <w:r>
        <w:rPr>
          <w:rFonts w:ascii="Arial" w:eastAsia="Arial" w:hAnsi="Arial" w:cs="Arial"/>
          <w:b/>
          <w:sz w:val="24"/>
        </w:rPr>
        <w:t>1</w:t>
      </w:r>
      <w:bookmarkEnd w:id="58"/>
      <w:r>
        <w:rPr>
          <w:rFonts w:ascii="Arial" w:eastAsia="Arial" w:hAnsi="Arial" w:cs="Arial"/>
          <w:b/>
          <w:sz w:val="24"/>
        </w:rPr>
        <w:t>.  24-A MRSA §4303, sub-§2, ¶D,</w:t>
      </w:r>
      <w:r>
        <w:rPr>
          <w:rFonts w:ascii="Arial" w:eastAsia="Arial" w:hAnsi="Arial" w:cs="Arial"/>
        </w:rPr>
        <w:t xml:space="preserve"> as amended by PL 2015, c. 84, §1, is further amended to read:</w:t>
      </w:r>
    </w:p>
    <w:p w:rsidR="00C12DE8" w:rsidP="00C12DE8">
      <w:pPr>
        <w:ind w:left="720"/>
        <w:rPr>
          <w:rFonts w:ascii="Arial" w:eastAsia="Arial" w:hAnsi="Arial" w:cs="Arial"/>
        </w:rPr>
      </w:pPr>
      <w:bookmarkStart w:id="59" w:name="_STATUTE_NUMBER__8ee738d1_e7f5_47d3_b2c8"/>
      <w:bookmarkStart w:id="60" w:name="_STATUTE_P__560e2fd2_a631_4ce3_bfd4_cdb0"/>
      <w:bookmarkEnd w:id="55"/>
      <w:r>
        <w:rPr>
          <w:rFonts w:ascii="Arial" w:eastAsia="Arial" w:hAnsi="Arial" w:cs="Arial"/>
        </w:rPr>
        <w:t>D</w:t>
      </w:r>
      <w:bookmarkEnd w:id="59"/>
      <w:r>
        <w:rPr>
          <w:rFonts w:ascii="Arial" w:eastAsia="Arial" w:hAnsi="Arial" w:cs="Arial"/>
        </w:rPr>
        <w:t xml:space="preserve">.  </w:t>
      </w:r>
      <w:bookmarkStart w:id="61" w:name="_STATUTE_CONTENT__ab07f519_b142_4751_bd4"/>
      <w:r>
        <w:rPr>
          <w:rFonts w:ascii="Arial" w:eastAsia="Arial" w:hAnsi="Arial" w:cs="Arial"/>
        </w:rPr>
        <w:t>A carrier shall make credentialing decisions, including those granting or denying credentials, within 60 days of receipt of a completed credentialing application from a provider.</w:t>
      </w:r>
      <w:bookmarkStart w:id="62" w:name="_REV__51bb6507_b45a_41dc_82d7_1697feb14b"/>
      <w:bookmarkStart w:id="63" w:name="_PROCESSED_CHANGE__6cb4cd2c_437c_48eb_93"/>
      <w:bookmarkStart w:id="64" w:name="_PROCESSED_CHANGE__66afb289_8b38_4e1b_ad"/>
      <w:r>
        <w:rPr>
          <w:rFonts w:ascii="Arial" w:eastAsia="Arial" w:hAnsi="Arial" w:cs="Arial"/>
        </w:rPr>
        <w:t xml:space="preserve"> </w:t>
      </w:r>
      <w:r>
        <w:rPr>
          <w:rFonts w:ascii="Arial" w:eastAsia="Arial" w:hAnsi="Arial" w:cs="Arial"/>
          <w:strike/>
        </w:rPr>
        <w:t>The time period for granting or denying credentials may be extended upon written notification from the carrier within 60 days following submission of a completed application stating that information contained in the application requires additional time for verification.  All credentialing decisions must be made within 180 days of receipt of a completed application.</w:t>
      </w:r>
      <w:bookmarkEnd w:id="62"/>
      <w:bookmarkEnd w:id="63"/>
      <w:bookmarkEnd w:id="64"/>
      <w:r>
        <w:rPr>
          <w:rFonts w:ascii="Arial" w:eastAsia="Arial" w:hAnsi="Arial" w:cs="Arial"/>
        </w:rPr>
        <w:t xml:space="preserve">  For the purposes of this paragraph, an application is completed if the application includes all of the information required by the uniform credentialing application used by carriers and providers in this State, such attachments to that application as required by the carrier at the time of application and all corrections required by the carrier.  </w:t>
      </w:r>
      <w:bookmarkStart w:id="65" w:name="_REV__106f2102_c949_495b_9dcc_8bc1ba640f"/>
      <w:bookmarkStart w:id="66" w:name="_PROCESSED_CHANGE__dab88f40_ae05_4824_bb"/>
      <w:bookmarkStart w:id="67" w:name="_PROCESSED_CHANGE__6ae3e16d_8fed_448a_bb"/>
      <w:r>
        <w:rPr>
          <w:rFonts w:ascii="Arial" w:eastAsia="Arial" w:hAnsi="Arial" w:cs="Arial"/>
          <w:strike/>
        </w:rPr>
        <w:t>A</w:t>
      </w:r>
      <w:r>
        <w:rPr>
          <w:rFonts w:ascii="Arial" w:eastAsia="Arial" w:hAnsi="Arial" w:cs="Arial"/>
        </w:rPr>
        <w:t xml:space="preserve"> </w:t>
      </w:r>
      <w:bookmarkStart w:id="68" w:name="_REV__fdede98d_2d2e_4874_a6e1_d679773ab7"/>
      <w:bookmarkStart w:id="69" w:name="_PROCESSED_CHANGE__18c37005_aa5e_45d5_a2"/>
      <w:bookmarkStart w:id="70" w:name="_PROCESSED_CHANGE__ac9515cd_b783_46e0_8c"/>
      <w:bookmarkEnd w:id="65"/>
      <w:bookmarkEnd w:id="66"/>
      <w:bookmarkEnd w:id="67"/>
      <w:r>
        <w:rPr>
          <w:rFonts w:ascii="Arial" w:eastAsia="Arial" w:hAnsi="Arial" w:cs="Arial"/>
          <w:u w:val="single"/>
        </w:rPr>
        <w:t>Within 30 days of initial receipt of a credentialing application</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a</w:t>
      </w:r>
      <w:r>
        <w:rPr>
          <w:rFonts w:ascii="Arial" w:eastAsia="Arial" w:hAnsi="Arial" w:cs="Arial"/>
        </w:rPr>
        <w:t xml:space="preserve"> </w:t>
      </w:r>
      <w:bookmarkEnd w:id="68"/>
      <w:bookmarkEnd w:id="69"/>
      <w:bookmarkEnd w:id="70"/>
      <w:r>
        <w:rPr>
          <w:rFonts w:ascii="Arial" w:eastAsia="Arial" w:hAnsi="Arial" w:cs="Arial"/>
        </w:rPr>
        <w:t xml:space="preserve">carrier shall review the entire application </w:t>
      </w:r>
      <w:bookmarkStart w:id="71" w:name="_REV__497d368a_523f_4d6c_8c96_33be8cff76"/>
      <w:bookmarkStart w:id="72" w:name="_PROCESSED_CHANGE__a973ff7f_d3f4_490a_8f"/>
      <w:bookmarkStart w:id="73" w:name="_PROCESSED_CHANGE__da88654e_e098_4b68_80"/>
      <w:r>
        <w:rPr>
          <w:rFonts w:ascii="Arial" w:eastAsia="Arial" w:hAnsi="Arial" w:cs="Arial"/>
          <w:strike/>
        </w:rPr>
        <w:t>before returning</w:t>
      </w:r>
      <w:bookmarkStart w:id="74" w:name="_REV__e57a60b6_dc0b_4020_9347_65e22cd418"/>
      <w:bookmarkStart w:id="75" w:name="_PROCESSED_CHANGE__67170a14_013d_42b5_80"/>
      <w:bookmarkStart w:id="76" w:name="_PROCESSED_CHANGE__ca7a82f0_0340_4476_85"/>
      <w:bookmarkEnd w:id="71"/>
      <w:bookmarkEnd w:id="72"/>
      <w:bookmarkEnd w:id="73"/>
      <w:r>
        <w:rPr>
          <w:rFonts w:ascii="Arial" w:eastAsia="Arial" w:hAnsi="Arial" w:cs="Arial"/>
        </w:rPr>
        <w:t xml:space="preserve"> </w:t>
      </w:r>
      <w:r>
        <w:rPr>
          <w:rFonts w:ascii="Arial" w:eastAsia="Arial" w:hAnsi="Arial" w:cs="Arial"/>
          <w:u w:val="single"/>
        </w:rPr>
        <w:t>and, if it is incomplete, shall return</w:t>
      </w:r>
      <w:bookmarkEnd w:id="74"/>
      <w:bookmarkEnd w:id="75"/>
      <w:bookmarkEnd w:id="76"/>
      <w:r>
        <w:rPr>
          <w:rFonts w:ascii="Arial" w:eastAsia="Arial" w:hAnsi="Arial" w:cs="Arial"/>
        </w:rPr>
        <w:t xml:space="preserve"> it to the provider for corrections with a comprehensive list of all corrections needed at the time the application is first returned to the provider.  A carrier may not require that a provider have a home address within the State before accepting an application.</w:t>
      </w:r>
      <w:bookmarkStart w:id="77" w:name="_REV__321c84a7_53c8_4da7_b2ad_ccf6d1aa97"/>
      <w:bookmarkStart w:id="78" w:name="_PROCESSED_CHANGE__00328b1c_3c4d_4b8f_b6"/>
      <w:bookmarkStart w:id="79" w:name="_PROCESSED_CHANGE__f91ca9a3_db3e_46de_89"/>
      <w:r w:rsidRPr="00C87AE4">
        <w:rPr>
          <w:rFonts w:ascii="Arial" w:eastAsia="Arial" w:hAnsi="Arial" w:cs="Arial"/>
        </w:rPr>
        <w:t xml:space="preserve"> </w:t>
      </w:r>
      <w:r>
        <w:rPr>
          <w:rFonts w:ascii="Arial" w:eastAsia="Arial" w:hAnsi="Arial" w:cs="Arial"/>
          <w:u w:val="single"/>
        </w:rPr>
        <w:t>A carrier that is unable to make a credentialing decision on a completed credentialing application within the 60</w:t>
      </w:r>
      <w:r>
        <w:rPr>
          <w:rFonts w:ascii="Arial" w:eastAsia="Arial" w:hAnsi="Arial" w:cs="Arial"/>
          <w:u w:val="single"/>
        </w:rPr>
        <w:t>-</w:t>
      </w:r>
      <w:r>
        <w:rPr>
          <w:rFonts w:ascii="Arial" w:eastAsia="Arial" w:hAnsi="Arial" w:cs="Arial"/>
          <w:u w:val="single"/>
        </w:rPr>
        <w:t>day</w:t>
      </w:r>
      <w:r>
        <w:rPr>
          <w:rFonts w:ascii="Arial" w:eastAsia="Arial" w:hAnsi="Arial" w:cs="Arial"/>
          <w:u w:val="single"/>
        </w:rPr>
        <w:t xml:space="preserve"> period</w:t>
      </w:r>
      <w:r>
        <w:rPr>
          <w:rFonts w:ascii="Arial" w:eastAsia="Arial" w:hAnsi="Arial" w:cs="Arial"/>
          <w:u w:val="single"/>
        </w:rPr>
        <w:t xml:space="preserve"> as required in this paragraph shall notify the bureau in writing prior to the expiration of the 60</w:t>
      </w:r>
      <w:r>
        <w:rPr>
          <w:rFonts w:ascii="Arial" w:eastAsia="Arial" w:hAnsi="Arial" w:cs="Arial"/>
          <w:u w:val="single"/>
        </w:rPr>
        <w:t>-</w:t>
      </w:r>
      <w:r>
        <w:rPr>
          <w:rFonts w:ascii="Arial" w:eastAsia="Arial" w:hAnsi="Arial" w:cs="Arial"/>
          <w:u w:val="single"/>
        </w:rPr>
        <w:t>day</w:t>
      </w:r>
      <w:r>
        <w:rPr>
          <w:rFonts w:ascii="Arial" w:eastAsia="Arial" w:hAnsi="Arial" w:cs="Arial"/>
          <w:u w:val="single"/>
        </w:rPr>
        <w:t xml:space="preserve"> period</w:t>
      </w:r>
      <w:r>
        <w:rPr>
          <w:rFonts w:ascii="Arial" w:eastAsia="Arial" w:hAnsi="Arial" w:cs="Arial"/>
          <w:u w:val="single"/>
        </w:rPr>
        <w:t xml:space="preserve"> on that application and request authorization for an extension on that application. </w:t>
      </w:r>
      <w:r>
        <w:rPr>
          <w:rFonts w:ascii="Arial" w:eastAsia="Arial" w:hAnsi="Arial" w:cs="Arial"/>
          <w:u w:val="single"/>
        </w:rPr>
        <w:t xml:space="preserve"> </w:t>
      </w:r>
      <w:r>
        <w:rPr>
          <w:rFonts w:ascii="Arial" w:eastAsia="Arial" w:hAnsi="Arial" w:cs="Arial"/>
          <w:u w:val="single"/>
        </w:rPr>
        <w:t>A carrier that requests an extension shall also submit to the bureau an explanation of the reasons why the credentialing decision on an application is taking longer than is permitted or, if the problem is not specific to a particular application, a written remediation plan to bring the carrier’s credentialing practices in line with the 60-day limit in this paragraph.</w:t>
      </w:r>
      <w:bookmarkEnd w:id="61"/>
      <w:bookmarkEnd w:id="77"/>
      <w:bookmarkEnd w:id="78"/>
      <w:bookmarkEnd w:id="79"/>
    </w:p>
    <w:p w:rsidR="00C12DE8" w:rsidP="00C12DE8">
      <w:pPr>
        <w:ind w:left="360" w:firstLine="360"/>
        <w:rPr>
          <w:rFonts w:ascii="Arial" w:eastAsia="Arial" w:hAnsi="Arial" w:cs="Arial"/>
        </w:rPr>
      </w:pPr>
      <w:bookmarkStart w:id="80" w:name="_BILL_SECTION_UNALLOCATED__2ea6fd40_ff10"/>
      <w:bookmarkEnd w:id="56"/>
      <w:bookmarkEnd w:id="60"/>
      <w:r>
        <w:rPr>
          <w:rFonts w:ascii="Arial" w:eastAsia="Arial" w:hAnsi="Arial" w:cs="Arial"/>
          <w:b/>
          <w:sz w:val="24"/>
        </w:rPr>
        <w:t xml:space="preserve">Sec. </w:t>
      </w:r>
      <w:bookmarkStart w:id="81" w:name="_BILL_PART_LETTER__b8944400_ed9a_4103_81"/>
      <w:r>
        <w:rPr>
          <w:rFonts w:ascii="Arial" w:eastAsia="Arial" w:hAnsi="Arial" w:cs="Arial"/>
          <w:b/>
          <w:sz w:val="24"/>
        </w:rPr>
        <w:t>B</w:t>
      </w:r>
      <w:bookmarkEnd w:id="81"/>
      <w:r>
        <w:rPr>
          <w:rFonts w:ascii="Arial" w:eastAsia="Arial" w:hAnsi="Arial" w:cs="Arial"/>
          <w:b/>
          <w:sz w:val="24"/>
        </w:rPr>
        <w:t>-</w:t>
      </w:r>
      <w:bookmarkStart w:id="82" w:name="_BILL_SECTION_NUMBER__71612b31_2456_4134"/>
      <w:r>
        <w:rPr>
          <w:rFonts w:ascii="Arial" w:eastAsia="Arial" w:hAnsi="Arial" w:cs="Arial"/>
          <w:b/>
          <w:sz w:val="24"/>
        </w:rPr>
        <w:t>2</w:t>
      </w:r>
      <w:bookmarkEnd w:id="82"/>
      <w:r>
        <w:rPr>
          <w:rFonts w:ascii="Arial" w:eastAsia="Arial" w:hAnsi="Arial" w:cs="Arial"/>
          <w:b/>
          <w:sz w:val="24"/>
        </w:rPr>
        <w:t>.</w:t>
      </w:r>
      <w:r>
        <w:rPr>
          <w:rFonts w:ascii="Arial" w:eastAsia="Arial" w:hAnsi="Arial" w:cs="Arial"/>
        </w:rPr>
        <w:t xml:space="preserve">  </w:t>
      </w:r>
      <w:r w:rsidRPr="00C87AE4">
        <w:rPr>
          <w:rFonts w:ascii="Arial" w:eastAsia="Arial" w:hAnsi="Arial" w:cs="Arial"/>
          <w:b/>
          <w:sz w:val="24"/>
          <w:szCs w:val="24"/>
        </w:rPr>
        <w:t>Bureau of Insurance review.</w:t>
      </w:r>
      <w:r w:rsidRPr="00C87AE4">
        <w:rPr>
          <w:rFonts w:ascii="Arial" w:eastAsia="Arial" w:hAnsi="Arial" w:cs="Arial"/>
        </w:rPr>
        <w:t xml:space="preserve"> </w:t>
      </w:r>
      <w:r>
        <w:rPr>
          <w:rFonts w:ascii="Arial" w:eastAsia="Arial" w:hAnsi="Arial" w:cs="Arial"/>
        </w:rPr>
        <w:t xml:space="preserve"> </w:t>
      </w:r>
      <w:r w:rsidRPr="00C87AE4">
        <w:rPr>
          <w:rFonts w:ascii="Arial" w:eastAsia="Arial" w:hAnsi="Arial" w:cs="Arial"/>
        </w:rPr>
        <w:t xml:space="preserve">The Department of Professional and Financial Regulation, Bureau of Insurance shall review the requirements in Bureau of Insurance </w:t>
      </w:r>
      <w:r>
        <w:rPr>
          <w:rFonts w:ascii="Arial" w:eastAsia="Arial" w:hAnsi="Arial" w:cs="Arial"/>
        </w:rPr>
        <w:t>r</w:t>
      </w:r>
      <w:r w:rsidRPr="00C87AE4">
        <w:rPr>
          <w:rFonts w:ascii="Arial" w:eastAsia="Arial" w:hAnsi="Arial" w:cs="Arial"/>
        </w:rPr>
        <w:t xml:space="preserve">ule Chapter 850, Health Plan Accountability, related to the verification of information on credentialing applications from health care practitioners and determine whether amendments </w:t>
      </w:r>
      <w:r>
        <w:rPr>
          <w:rFonts w:ascii="Arial" w:eastAsia="Arial" w:hAnsi="Arial" w:cs="Arial"/>
        </w:rPr>
        <w:t>must</w:t>
      </w:r>
      <w:r w:rsidRPr="00C87AE4">
        <w:rPr>
          <w:rFonts w:ascii="Arial" w:eastAsia="Arial" w:hAnsi="Arial" w:cs="Arial"/>
        </w:rPr>
        <w:t xml:space="preserve"> be made to the rule’s requirements in order to improve the ability of carriers to make a credentialing decision within </w:t>
      </w:r>
      <w:r>
        <w:rPr>
          <w:rFonts w:ascii="Arial" w:eastAsia="Arial" w:hAnsi="Arial" w:cs="Arial"/>
        </w:rPr>
        <w:t xml:space="preserve">the </w:t>
      </w:r>
      <w:r w:rsidRPr="00C87AE4">
        <w:rPr>
          <w:rFonts w:ascii="Arial" w:eastAsia="Arial" w:hAnsi="Arial" w:cs="Arial"/>
        </w:rPr>
        <w:t>60</w:t>
      </w:r>
      <w:r>
        <w:rPr>
          <w:rFonts w:ascii="Arial" w:eastAsia="Arial" w:hAnsi="Arial" w:cs="Arial"/>
        </w:rPr>
        <w:t>-</w:t>
      </w:r>
      <w:r w:rsidRPr="00C87AE4">
        <w:rPr>
          <w:rFonts w:ascii="Arial" w:eastAsia="Arial" w:hAnsi="Arial" w:cs="Arial"/>
        </w:rPr>
        <w:t>day</w:t>
      </w:r>
      <w:r>
        <w:rPr>
          <w:rFonts w:ascii="Arial" w:eastAsia="Arial" w:hAnsi="Arial" w:cs="Arial"/>
        </w:rPr>
        <w:t xml:space="preserve"> period</w:t>
      </w:r>
      <w:r w:rsidRPr="00C87AE4">
        <w:rPr>
          <w:rFonts w:ascii="Arial" w:eastAsia="Arial" w:hAnsi="Arial" w:cs="Arial"/>
        </w:rPr>
        <w:t xml:space="preserve"> in accordance with the Maine Revised Statutes, Title 24-A, section 4303, subsection 2, paragraph D without an impact on quality standards or accreditation standards. Notwithstanding Title 24-A, section 4309, any amendments to Bureau of Insurance </w:t>
      </w:r>
      <w:r>
        <w:rPr>
          <w:rFonts w:ascii="Arial" w:eastAsia="Arial" w:hAnsi="Arial" w:cs="Arial"/>
        </w:rPr>
        <w:t>r</w:t>
      </w:r>
      <w:r w:rsidRPr="00C87AE4">
        <w:rPr>
          <w:rFonts w:ascii="Arial" w:eastAsia="Arial" w:hAnsi="Arial" w:cs="Arial"/>
        </w:rPr>
        <w:t>ule Chapter 850 adopted following the review required by this section are routine technical rules as defined in Title 5, chapter 375, subchapter 2-A.</w:t>
      </w:r>
    </w:p>
    <w:p w:rsidR="00C12DE8" w:rsidP="00C12DE8">
      <w:pPr>
        <w:ind w:left="360" w:firstLine="360"/>
        <w:rPr>
          <w:rFonts w:ascii="Arial" w:eastAsia="Arial" w:hAnsi="Arial" w:cs="Arial"/>
        </w:rPr>
      </w:pPr>
      <w:bookmarkStart w:id="83" w:name="_APPROP_SECTION__336fc14a_61b2_4076_b41c"/>
      <w:bookmarkEnd w:id="80"/>
      <w:r>
        <w:rPr>
          <w:rFonts w:ascii="Arial" w:eastAsia="Arial" w:hAnsi="Arial" w:cs="Arial"/>
          <w:b/>
          <w:sz w:val="24"/>
        </w:rPr>
        <w:t xml:space="preserve">Sec. </w:t>
      </w:r>
      <w:bookmarkStart w:id="84" w:name="_BILL_PART_LETTER__8ade0ca4_3cc9_4f68_a3"/>
      <w:r>
        <w:rPr>
          <w:rFonts w:ascii="Arial" w:eastAsia="Arial" w:hAnsi="Arial" w:cs="Arial"/>
          <w:b/>
          <w:sz w:val="24"/>
        </w:rPr>
        <w:t>B</w:t>
      </w:r>
      <w:bookmarkEnd w:id="84"/>
      <w:r>
        <w:rPr>
          <w:rFonts w:ascii="Arial" w:eastAsia="Arial" w:hAnsi="Arial" w:cs="Arial"/>
          <w:b/>
          <w:sz w:val="24"/>
        </w:rPr>
        <w:t>-</w:t>
      </w:r>
      <w:bookmarkStart w:id="85" w:name="_BILL_SECTION_NUMBER__27f94616_f2fb_4bbf"/>
      <w:r>
        <w:rPr>
          <w:rFonts w:ascii="Arial" w:eastAsia="Arial" w:hAnsi="Arial" w:cs="Arial"/>
          <w:b/>
          <w:sz w:val="24"/>
        </w:rPr>
        <w:t>3</w:t>
      </w:r>
      <w:bookmarkEnd w:id="85"/>
      <w:r>
        <w:rPr>
          <w:rFonts w:ascii="Arial" w:eastAsia="Arial" w:hAnsi="Arial" w:cs="Arial"/>
          <w:b/>
          <w:sz w:val="24"/>
        </w:rPr>
        <w:t>.  Appropriations and allocations.</w:t>
      </w:r>
      <w:r>
        <w:rPr>
          <w:rFonts w:ascii="Arial" w:eastAsia="Arial" w:hAnsi="Arial" w:cs="Arial"/>
        </w:rPr>
        <w:t>  The following appropriations and allocations are made.</w:t>
      </w:r>
    </w:p>
    <w:p w:rsidR="00C12DE8" w:rsidP="00C12DE8">
      <w:pPr>
        <w:pStyle w:val="BPSParagraphLeftAlign"/>
        <w:suppressAutoHyphens/>
        <w:ind w:left="360"/>
        <w:rPr>
          <w:rFonts w:ascii="Arial" w:eastAsia="Arial" w:hAnsi="Arial" w:cs="Arial"/>
        </w:rPr>
      </w:pPr>
      <w:r>
        <w:rPr>
          <w:rFonts w:ascii="Arial" w:eastAsia="Arial" w:hAnsi="Arial" w:cs="Arial"/>
          <w:b/>
        </w:rPr>
        <w:t>PROFESSIONAL AND FINANCIAL REGULATION, DEPARTMENT OF</w:t>
      </w:r>
    </w:p>
    <w:p w:rsidR="00C12DE8" w:rsidP="00C12DE8">
      <w:pPr>
        <w:pStyle w:val="BPSParagraphLeftAlign"/>
        <w:suppressAutoHyphens/>
        <w:ind w:left="360"/>
        <w:rPr>
          <w:rFonts w:ascii="Arial" w:eastAsia="Arial" w:hAnsi="Arial" w:cs="Arial"/>
        </w:rPr>
      </w:pPr>
      <w:r>
        <w:rPr>
          <w:rFonts w:ascii="Arial" w:eastAsia="Arial" w:hAnsi="Arial" w:cs="Arial"/>
          <w:b/>
        </w:rPr>
        <w:t>Insurance - Bureau of 0092</w:t>
      </w:r>
    </w:p>
    <w:p w:rsidR="00C12DE8" w:rsidP="00C12DE8">
      <w:pPr>
        <w:ind w:left="360"/>
        <w:rPr>
          <w:rFonts w:ascii="Arial" w:eastAsia="Arial" w:hAnsi="Arial" w:cs="Arial"/>
        </w:rPr>
      </w:pPr>
      <w:r>
        <w:rPr>
          <w:rFonts w:ascii="Arial" w:eastAsia="Arial" w:hAnsi="Arial" w:cs="Arial"/>
        </w:rPr>
        <w:t>Initiative: Provides funding for one Senior Insurance Examiner position and related All Other costs to examine insurer requests related to accreditation of health care providers.</w:t>
      </w:r>
    </w:p>
    <w:tbl>
      <w:tblPr>
        <w:tblStyle w:val="BPSTable"/>
        <w:tblW w:w="0" w:type="auto"/>
        <w:tblInd w:w="360" w:type="dxa"/>
        <w:tblCellMar>
          <w:left w:w="0" w:type="dxa"/>
          <w:right w:w="0" w:type="dxa"/>
        </w:tblCellMar>
        <w:tblLook w:val="04A0"/>
      </w:tblPr>
      <w:tblGrid>
        <w:gridCol w:w="5009"/>
        <w:gridCol w:w="1463"/>
        <w:gridCol w:w="1463"/>
      </w:tblGrid>
      <w:tr w:rsidTr="00915991">
        <w:tblPrEx>
          <w:tblW w:w="0" w:type="auto"/>
          <w:tblInd w:w="360" w:type="dxa"/>
          <w:tblCellMar>
            <w:left w:w="0" w:type="dxa"/>
            <w:right w:w="0" w:type="dxa"/>
          </w:tblCellMar>
          <w:tblLook w:val="04A0"/>
        </w:tblPrEx>
        <w:tc>
          <w:tcPr>
            <w:tcW w:w="5069" w:type="dxa"/>
          </w:tcPr>
          <w:p w:rsidR="00C12DE8" w:rsidP="00915991">
            <w:pPr>
              <w:rPr>
                <w:rFonts w:ascii="Arial" w:eastAsia="Arial" w:hAnsi="Arial" w:cs="Arial"/>
              </w:rPr>
            </w:pPr>
            <w:r>
              <w:rPr>
                <w:rFonts w:ascii="Arial" w:eastAsia="Arial" w:hAnsi="Arial" w:cs="Arial"/>
                <w:b/>
              </w:rPr>
              <w:t>OTHER SPECIAL REVENUE FUNDS</w:t>
            </w:r>
          </w:p>
        </w:tc>
        <w:tc>
          <w:tcPr>
            <w:tcW w:w="1469" w:type="dxa"/>
          </w:tcPr>
          <w:p w:rsidR="00C12DE8" w:rsidP="00915991">
            <w:pPr>
              <w:jc w:val="right"/>
              <w:rPr>
                <w:rFonts w:ascii="Arial" w:eastAsia="Arial" w:hAnsi="Arial" w:cs="Arial"/>
              </w:rPr>
            </w:pPr>
            <w:r>
              <w:rPr>
                <w:rFonts w:ascii="Arial" w:eastAsia="Arial" w:hAnsi="Arial" w:cs="Arial"/>
                <w:b/>
              </w:rPr>
              <w:t>2021-22</w:t>
            </w:r>
          </w:p>
        </w:tc>
        <w:tc>
          <w:tcPr>
            <w:tcW w:w="1469" w:type="dxa"/>
          </w:tcPr>
          <w:p w:rsidR="00C12DE8" w:rsidP="00915991">
            <w:pPr>
              <w:jc w:val="right"/>
              <w:rPr>
                <w:rFonts w:ascii="Arial" w:eastAsia="Arial" w:hAnsi="Arial" w:cs="Arial"/>
              </w:rPr>
            </w:pPr>
            <w:r>
              <w:rPr>
                <w:rFonts w:ascii="Arial" w:eastAsia="Arial" w:hAnsi="Arial" w:cs="Arial"/>
                <w:b/>
              </w:rPr>
              <w:t>2022-23</w:t>
            </w:r>
          </w:p>
        </w:tc>
      </w:tr>
      <w:tr w:rsidTr="00915991">
        <w:tblPrEx>
          <w:tblW w:w="0" w:type="auto"/>
          <w:tblInd w:w="360" w:type="dxa"/>
          <w:tblCellMar>
            <w:left w:w="0" w:type="dxa"/>
            <w:right w:w="0" w:type="dxa"/>
          </w:tblCellMar>
          <w:tblLook w:val="04A0"/>
        </w:tblPrEx>
        <w:tc>
          <w:tcPr>
            <w:tcW w:w="5069" w:type="dxa"/>
          </w:tcPr>
          <w:p w:rsidR="00C12DE8" w:rsidP="00915991">
            <w:pPr>
              <w:ind w:left="180"/>
              <w:rPr>
                <w:rFonts w:ascii="Arial" w:eastAsia="Arial" w:hAnsi="Arial" w:cs="Arial"/>
              </w:rPr>
            </w:pPr>
            <w:r>
              <w:rPr>
                <w:rFonts w:ascii="Arial" w:eastAsia="Arial" w:hAnsi="Arial" w:cs="Arial"/>
              </w:rPr>
              <w:t>POSITIONS - LEGISLATIVE COUNT</w:t>
            </w:r>
          </w:p>
        </w:tc>
        <w:tc>
          <w:tcPr>
            <w:tcW w:w="1469" w:type="dxa"/>
          </w:tcPr>
          <w:p w:rsidR="00C12DE8" w:rsidP="00915991">
            <w:pPr>
              <w:jc w:val="right"/>
              <w:rPr>
                <w:rFonts w:ascii="Arial" w:eastAsia="Arial" w:hAnsi="Arial" w:cs="Arial"/>
              </w:rPr>
            </w:pPr>
            <w:r>
              <w:rPr>
                <w:rFonts w:ascii="Arial" w:eastAsia="Arial" w:hAnsi="Arial" w:cs="Arial"/>
              </w:rPr>
              <w:t>0.000</w:t>
            </w:r>
          </w:p>
        </w:tc>
        <w:tc>
          <w:tcPr>
            <w:tcW w:w="1469" w:type="dxa"/>
          </w:tcPr>
          <w:p w:rsidR="00C12DE8" w:rsidP="00915991">
            <w:pPr>
              <w:jc w:val="right"/>
              <w:rPr>
                <w:rFonts w:ascii="Arial" w:eastAsia="Arial" w:hAnsi="Arial" w:cs="Arial"/>
              </w:rPr>
            </w:pPr>
            <w:r>
              <w:rPr>
                <w:rFonts w:ascii="Arial" w:eastAsia="Arial" w:hAnsi="Arial" w:cs="Arial"/>
              </w:rPr>
              <w:t>1.000</w:t>
            </w:r>
          </w:p>
        </w:tc>
      </w:tr>
      <w:tr w:rsidTr="00915991">
        <w:tblPrEx>
          <w:tblW w:w="0" w:type="auto"/>
          <w:tblInd w:w="360" w:type="dxa"/>
          <w:tblCellMar>
            <w:left w:w="0" w:type="dxa"/>
            <w:right w:w="0" w:type="dxa"/>
          </w:tblCellMar>
          <w:tblLook w:val="04A0"/>
        </w:tblPrEx>
        <w:tc>
          <w:tcPr>
            <w:tcW w:w="5069" w:type="dxa"/>
          </w:tcPr>
          <w:p w:rsidR="00C12DE8" w:rsidP="00915991">
            <w:pPr>
              <w:ind w:left="180"/>
              <w:rPr>
                <w:rFonts w:ascii="Arial" w:eastAsia="Arial" w:hAnsi="Arial" w:cs="Arial"/>
              </w:rPr>
            </w:pPr>
            <w:r>
              <w:rPr>
                <w:rFonts w:ascii="Arial" w:eastAsia="Arial" w:hAnsi="Arial" w:cs="Arial"/>
              </w:rPr>
              <w:t>Personal Services</w:t>
            </w:r>
          </w:p>
        </w:tc>
        <w:tc>
          <w:tcPr>
            <w:tcW w:w="1469" w:type="dxa"/>
          </w:tcPr>
          <w:p w:rsidR="00C12DE8" w:rsidP="00915991">
            <w:pPr>
              <w:jc w:val="right"/>
              <w:rPr>
                <w:rFonts w:ascii="Arial" w:eastAsia="Arial" w:hAnsi="Arial" w:cs="Arial"/>
              </w:rPr>
            </w:pPr>
            <w:r>
              <w:rPr>
                <w:rFonts w:ascii="Arial" w:eastAsia="Arial" w:hAnsi="Arial" w:cs="Arial"/>
              </w:rPr>
              <w:t>$0</w:t>
            </w:r>
          </w:p>
        </w:tc>
        <w:tc>
          <w:tcPr>
            <w:tcW w:w="1469" w:type="dxa"/>
          </w:tcPr>
          <w:p w:rsidR="00C12DE8" w:rsidP="00915991">
            <w:pPr>
              <w:jc w:val="right"/>
              <w:rPr>
                <w:rFonts w:ascii="Arial" w:eastAsia="Arial" w:hAnsi="Arial" w:cs="Arial"/>
              </w:rPr>
            </w:pPr>
            <w:r>
              <w:rPr>
                <w:rFonts w:ascii="Arial" w:eastAsia="Arial" w:hAnsi="Arial" w:cs="Arial"/>
              </w:rPr>
              <w:t>$121,132</w:t>
            </w:r>
          </w:p>
        </w:tc>
      </w:tr>
      <w:tr w:rsidTr="00915991">
        <w:tblPrEx>
          <w:tblW w:w="0" w:type="auto"/>
          <w:tblInd w:w="360" w:type="dxa"/>
          <w:tblCellMar>
            <w:left w:w="0" w:type="dxa"/>
            <w:right w:w="0" w:type="dxa"/>
          </w:tblCellMar>
          <w:tblLook w:val="04A0"/>
        </w:tblPrEx>
        <w:tc>
          <w:tcPr>
            <w:tcW w:w="5069" w:type="dxa"/>
          </w:tcPr>
          <w:p w:rsidR="00C12DE8" w:rsidP="00915991">
            <w:pPr>
              <w:ind w:left="180"/>
              <w:rPr>
                <w:rFonts w:ascii="Arial" w:eastAsia="Arial" w:hAnsi="Arial" w:cs="Arial"/>
              </w:rPr>
            </w:pPr>
            <w:r>
              <w:rPr>
                <w:rFonts w:ascii="Arial" w:eastAsia="Arial" w:hAnsi="Arial" w:cs="Arial"/>
              </w:rPr>
              <w:t>All Other</w:t>
            </w:r>
          </w:p>
        </w:tc>
        <w:tc>
          <w:tcPr>
            <w:tcW w:w="1469" w:type="dxa"/>
          </w:tcPr>
          <w:p w:rsidR="00C12DE8" w:rsidP="00915991">
            <w:pPr>
              <w:jc w:val="right"/>
              <w:rPr>
                <w:rFonts w:ascii="Arial" w:eastAsia="Arial" w:hAnsi="Arial" w:cs="Arial"/>
              </w:rPr>
            </w:pPr>
            <w:r>
              <w:rPr>
                <w:rFonts w:ascii="Arial" w:eastAsia="Arial" w:hAnsi="Arial" w:cs="Arial"/>
              </w:rPr>
              <w:t>$0</w:t>
            </w:r>
          </w:p>
        </w:tc>
        <w:tc>
          <w:tcPr>
            <w:tcW w:w="1469" w:type="dxa"/>
          </w:tcPr>
          <w:p w:rsidR="00C12DE8" w:rsidP="00915991">
            <w:pPr>
              <w:jc w:val="right"/>
              <w:rPr>
                <w:rFonts w:ascii="Arial" w:eastAsia="Arial" w:hAnsi="Arial" w:cs="Arial"/>
              </w:rPr>
            </w:pPr>
            <w:r>
              <w:rPr>
                <w:rFonts w:ascii="Arial" w:eastAsia="Arial" w:hAnsi="Arial" w:cs="Arial"/>
              </w:rPr>
              <w:t>$10,803</w:t>
            </w:r>
          </w:p>
        </w:tc>
      </w:tr>
      <w:tr w:rsidTr="00915991">
        <w:tblPrEx>
          <w:tblW w:w="0" w:type="auto"/>
          <w:tblInd w:w="360" w:type="dxa"/>
          <w:tblCellMar>
            <w:left w:w="0" w:type="dxa"/>
            <w:right w:w="0" w:type="dxa"/>
          </w:tblCellMar>
          <w:tblLook w:val="04A0"/>
        </w:tblPrEx>
        <w:tc>
          <w:tcPr>
            <w:tcW w:w="5069" w:type="dxa"/>
          </w:tcPr>
          <w:p w:rsidR="00C12DE8" w:rsidP="00915991">
            <w:pPr>
              <w:rPr>
                <w:rFonts w:ascii="Arial" w:eastAsia="Arial" w:hAnsi="Arial" w:cs="Arial"/>
              </w:rPr>
            </w:pPr>
            <w:r>
              <w:rPr>
                <w:rFonts w:ascii="Arial" w:eastAsia="Arial" w:hAnsi="Arial" w:cs="Arial"/>
              </w:rPr>
              <w:t xml:space="preserve"> </w:t>
            </w:r>
          </w:p>
        </w:tc>
        <w:tc>
          <w:tcPr>
            <w:tcW w:w="1469" w:type="dxa"/>
          </w:tcPr>
          <w:p w:rsidR="00C12DE8" w:rsidP="00915991">
            <w:pPr>
              <w:jc w:val="right"/>
              <w:rPr>
                <w:rFonts w:ascii="Arial" w:eastAsia="Arial" w:hAnsi="Arial" w:cs="Arial"/>
              </w:rPr>
            </w:pPr>
            <w:r>
              <w:rPr>
                <w:rFonts w:ascii="Arial" w:eastAsia="Arial" w:hAnsi="Arial" w:cs="Arial"/>
              </w:rPr>
              <w:t>__________</w:t>
            </w:r>
          </w:p>
        </w:tc>
        <w:tc>
          <w:tcPr>
            <w:tcW w:w="1469" w:type="dxa"/>
          </w:tcPr>
          <w:p w:rsidR="00C12DE8" w:rsidP="00915991">
            <w:pPr>
              <w:jc w:val="right"/>
              <w:rPr>
                <w:rFonts w:ascii="Arial" w:eastAsia="Arial" w:hAnsi="Arial" w:cs="Arial"/>
              </w:rPr>
            </w:pPr>
            <w:r>
              <w:rPr>
                <w:rFonts w:ascii="Arial" w:eastAsia="Arial" w:hAnsi="Arial" w:cs="Arial"/>
              </w:rPr>
              <w:t>__________</w:t>
            </w:r>
          </w:p>
        </w:tc>
      </w:tr>
      <w:tr w:rsidTr="00915991">
        <w:tblPrEx>
          <w:tblW w:w="0" w:type="auto"/>
          <w:tblInd w:w="360" w:type="dxa"/>
          <w:tblCellMar>
            <w:left w:w="0" w:type="dxa"/>
            <w:right w:w="0" w:type="dxa"/>
          </w:tblCellMar>
          <w:tblLook w:val="04A0"/>
        </w:tblPrEx>
        <w:tc>
          <w:tcPr>
            <w:tcW w:w="5069" w:type="dxa"/>
          </w:tcPr>
          <w:p w:rsidR="00C12DE8" w:rsidP="00915991">
            <w:pPr>
              <w:rPr>
                <w:rFonts w:ascii="Arial" w:eastAsia="Arial" w:hAnsi="Arial" w:cs="Arial"/>
              </w:rPr>
            </w:pPr>
            <w:r>
              <w:rPr>
                <w:rFonts w:ascii="Arial" w:eastAsia="Arial" w:hAnsi="Arial" w:cs="Arial"/>
              </w:rPr>
              <w:t>OTHER SPECIAL REVENUE FUNDS TOTAL</w:t>
            </w:r>
          </w:p>
        </w:tc>
        <w:tc>
          <w:tcPr>
            <w:tcW w:w="1469" w:type="dxa"/>
          </w:tcPr>
          <w:p w:rsidR="00C12DE8" w:rsidP="00915991">
            <w:pPr>
              <w:jc w:val="right"/>
              <w:rPr>
                <w:rFonts w:ascii="Arial" w:eastAsia="Arial" w:hAnsi="Arial" w:cs="Arial"/>
              </w:rPr>
            </w:pPr>
            <w:r>
              <w:rPr>
                <w:rFonts w:ascii="Arial" w:eastAsia="Arial" w:hAnsi="Arial" w:cs="Arial"/>
              </w:rPr>
              <w:t>$0</w:t>
            </w:r>
          </w:p>
        </w:tc>
        <w:tc>
          <w:tcPr>
            <w:tcW w:w="1469" w:type="dxa"/>
          </w:tcPr>
          <w:p w:rsidR="00C12DE8" w:rsidP="00915991">
            <w:pPr>
              <w:jc w:val="right"/>
              <w:rPr>
                <w:rFonts w:ascii="Arial" w:eastAsia="Arial" w:hAnsi="Arial" w:cs="Arial"/>
              </w:rPr>
            </w:pPr>
            <w:r>
              <w:rPr>
                <w:rFonts w:ascii="Arial" w:eastAsia="Arial" w:hAnsi="Arial" w:cs="Arial"/>
              </w:rPr>
              <w:t>$131,935</w:t>
            </w:r>
          </w:p>
        </w:tc>
      </w:tr>
      <w:bookmarkEnd w:id="2"/>
      <w:bookmarkEnd w:id="5"/>
      <w:bookmarkEnd w:id="6"/>
      <w:bookmarkEnd w:id="53"/>
      <w:bookmarkEnd w:id="83"/>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LR0740,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Reporting on Spending for Behavioral Health Care Services and To Clarify Requirements for Credentialing by Health Insurance Carriers</w:t>
    </w:r>
  </w:p>
  <w:p>
    <w:pPr>
      <w:suppressLineNumbers/>
      <w:spacing w:before="0" w:after="0"/>
      <w:jc w:val="center"/>
      <w:rPr>
        <w:rFonts w:ascii="Arial" w:eastAsia="Arial" w:hAnsi="Arial" w:cs="Arial"/>
      </w:rPr>
    </w:pPr>
    <w:r>
      <w:rPr>
        <w:rFonts w:ascii="Arial" w:eastAsia="Arial" w:hAnsi="Arial" w:cs="Arial"/>
        <w:sz w:val="22"/>
      </w:rPr>
      <w:t>L.D. 1196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15991"/>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12DE8"/>
    <w:rsid w:val="00C6107B"/>
    <w:rsid w:val="00C61EAA"/>
    <w:rsid w:val="00C87AE4"/>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