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Require the Technical Building Codes and Standards Board to Adopt the Canadian Standards Association Standard for Residential Mechanical Ventilation Systems as an Alternative Standard Under the Maine Uniform Building and Energy Code</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Twenty-three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867 - L.D. 1353</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Require the Technical Building Codes and Standards Board to Adopt the Canadian Standards Association Standard for Residential Mechanical Ventilation Systems as an Alternative Standard Under the Maine Uniform Building and Energy Code</w:t>
      </w:r>
    </w:p>
    <w:p w:rsidR="004E7637" w:rsidP="004E7637">
      <w:pPr>
        <w:ind w:left="360"/>
        <w:rPr>
          <w:rFonts w:ascii="Arial" w:eastAsia="Arial" w:hAnsi="Arial" w:cs="Arial"/>
        </w:rPr>
      </w:pPr>
      <w:bookmarkStart w:id="0" w:name="_ENACTING_CLAUSE__27326ada_0f4a_4ed8_b33"/>
      <w:bookmarkStart w:id="1" w:name="_PAR__1_3f14e916_5143_417c_ac54_fa8c668f"/>
      <w:bookmarkStart w:id="2" w:name="_DOC_BODY_CONTAINER__a91aff16_c598_4cd2_"/>
      <w:r>
        <w:rPr>
          <w:rFonts w:ascii="Arial" w:eastAsia="Arial" w:hAnsi="Arial" w:cs="Arial"/>
          <w:b/>
        </w:rPr>
        <w:t>Be it enacted by the People of the State of Maine as follows:</w:t>
      </w:r>
    </w:p>
    <w:p w:rsidR="004E7637" w:rsidP="004E7637">
      <w:pPr>
        <w:ind w:left="360" w:firstLine="360"/>
        <w:rPr>
          <w:rFonts w:ascii="Arial" w:eastAsia="Arial" w:hAnsi="Arial" w:cs="Arial"/>
        </w:rPr>
      </w:pPr>
      <w:bookmarkStart w:id="3" w:name="_BILL_SECTION_HEADER__83ea32b5_081e_4992"/>
      <w:bookmarkStart w:id="4" w:name="_BILL_SECTION__cc0e0ea5_52c1_4d68_a37a_7"/>
      <w:bookmarkStart w:id="5" w:name="_INSTRUCTION__f03cc356_ce05_4f8a_bab5_5f"/>
      <w:bookmarkStart w:id="6" w:name="_DOC_BODY_CONTENT__48374d15_deb2_4e84_b5"/>
      <w:bookmarkEnd w:id="0"/>
      <w:bookmarkEnd w:id="1"/>
      <w:r>
        <w:rPr>
          <w:rFonts w:ascii="Arial" w:eastAsia="Arial" w:hAnsi="Arial" w:cs="Arial"/>
          <w:b/>
          <w:sz w:val="24"/>
        </w:rPr>
        <w:t xml:space="preserve">Sec. </w:t>
      </w:r>
      <w:bookmarkStart w:id="7" w:name="_BILL_SECTION_NUMBER__865948f7_ab66_4797"/>
      <w:r>
        <w:rPr>
          <w:rFonts w:ascii="Arial" w:eastAsia="Arial" w:hAnsi="Arial" w:cs="Arial"/>
          <w:b/>
          <w:sz w:val="24"/>
        </w:rPr>
        <w:t>1</w:t>
      </w:r>
      <w:bookmarkEnd w:id="7"/>
      <w:r>
        <w:rPr>
          <w:rFonts w:ascii="Arial" w:eastAsia="Arial" w:hAnsi="Arial" w:cs="Arial"/>
          <w:b/>
          <w:sz w:val="24"/>
        </w:rPr>
        <w:t>.  10 MRSA §9722, sub-§6, ¶O,</w:t>
      </w:r>
      <w:r>
        <w:rPr>
          <w:rFonts w:ascii="Arial" w:eastAsia="Arial" w:hAnsi="Arial" w:cs="Arial"/>
        </w:rPr>
        <w:t xml:space="preserve"> as amended by PL 2021, c. 524, §2, is further amended to read:</w:t>
      </w:r>
    </w:p>
    <w:p w:rsidR="004E7637" w:rsidP="004E7637">
      <w:pPr>
        <w:ind w:left="720"/>
        <w:rPr>
          <w:rFonts w:ascii="Arial" w:eastAsia="Arial" w:hAnsi="Arial" w:cs="Arial"/>
        </w:rPr>
      </w:pPr>
      <w:bookmarkStart w:id="8" w:name="_STATUTE_NUMBER__3eb35aa3_0ed8_424a_aeca"/>
      <w:bookmarkStart w:id="9" w:name="_STATUTE_P__20227aca_c9d7_4796_aa00_9ef9"/>
      <w:bookmarkEnd w:id="3"/>
      <w:r>
        <w:rPr>
          <w:rFonts w:ascii="Arial" w:eastAsia="Arial" w:hAnsi="Arial" w:cs="Arial"/>
        </w:rPr>
        <w:t>O</w:t>
      </w:r>
      <w:bookmarkEnd w:id="8"/>
      <w:r>
        <w:rPr>
          <w:rFonts w:ascii="Arial" w:eastAsia="Arial" w:hAnsi="Arial" w:cs="Arial"/>
        </w:rPr>
        <w:t xml:space="preserve">.  </w:t>
      </w:r>
      <w:bookmarkStart w:id="10" w:name="_STATUTE_CONTENT__c773718e_9f25_42c1_9e9"/>
      <w:r>
        <w:rPr>
          <w:rFonts w:ascii="Arial" w:eastAsia="Arial" w:hAnsi="Arial" w:cs="Arial"/>
        </w:rPr>
        <w:t>No later than July 1, 2020, adopt, amend and maintain an appendix to the Maine Uniform Building and Energy Code as an optional part of the code that contains energy conservation and efficiency requirements that are based on established national voluntary efficiency standards that exceed the energy code requirements established in the Maine Uniform Building and Energy Code.  As the code is updated, the board shall ensure that the energy conservation and efficiency requirements in the appendix continue to exceed the requirements established in the Maine Uniform Building and Energy Code.  The appendix must be made available for voluntary adoption by any municipality.  The board shall maintain a list of municipalities that have voluntarily adopted the appendix to the Maine Uniform Building and Energy Code on its publicly accessible website;</w:t>
      </w:r>
      <w:bookmarkStart w:id="11" w:name="_REV__e4f69483_e3f2_4811_8f0e_09900ef5b4"/>
      <w:bookmarkStart w:id="12" w:name="_PROCESSED_CHANGE__8313fe3d_c86a_4d07_95"/>
      <w:bookmarkStart w:id="13" w:name="_PROCESSED_CHANGE__cc830c84_7e70_4b9f_a8"/>
      <w:bookmarkStart w:id="14" w:name="_PROCESSED_CHANGE__c86f03a0_38ab_4089_b0"/>
      <w:r>
        <w:rPr>
          <w:rFonts w:ascii="Arial" w:eastAsia="Arial" w:hAnsi="Arial" w:cs="Arial"/>
        </w:rPr>
        <w:t xml:space="preserve"> </w:t>
      </w:r>
      <w:r>
        <w:rPr>
          <w:rFonts w:ascii="Arial" w:eastAsia="Arial" w:hAnsi="Arial" w:cs="Arial"/>
          <w:strike/>
        </w:rPr>
        <w:t>and</w:t>
      </w:r>
      <w:bookmarkEnd w:id="10"/>
      <w:bookmarkEnd w:id="11"/>
      <w:bookmarkEnd w:id="12"/>
      <w:bookmarkEnd w:id="13"/>
      <w:bookmarkEnd w:id="14"/>
    </w:p>
    <w:p w:rsidR="004E7637" w:rsidP="004E7637">
      <w:pPr>
        <w:ind w:left="360" w:firstLine="360"/>
        <w:rPr>
          <w:rFonts w:ascii="Arial" w:eastAsia="Arial" w:hAnsi="Arial" w:cs="Arial"/>
        </w:rPr>
      </w:pPr>
      <w:bookmarkStart w:id="15" w:name="_BILL_SECTION_HEADER__d59fd7bf_cc54_4685"/>
      <w:bookmarkStart w:id="16" w:name="_BILL_SECTION__f7cfc007_6bd3_4f01_aa02_4"/>
      <w:bookmarkEnd w:id="4"/>
      <w:bookmarkEnd w:id="9"/>
      <w:r>
        <w:rPr>
          <w:rFonts w:ascii="Arial" w:eastAsia="Arial" w:hAnsi="Arial" w:cs="Arial"/>
          <w:b/>
          <w:sz w:val="24"/>
        </w:rPr>
        <w:t xml:space="preserve">Sec. </w:t>
      </w:r>
      <w:bookmarkStart w:id="17" w:name="_BILL_SECTION_NUMBER__3d5f98ec_2a83_43b6"/>
      <w:r>
        <w:rPr>
          <w:rFonts w:ascii="Arial" w:eastAsia="Arial" w:hAnsi="Arial" w:cs="Arial"/>
          <w:b/>
          <w:sz w:val="24"/>
        </w:rPr>
        <w:t>2</w:t>
      </w:r>
      <w:bookmarkEnd w:id="17"/>
      <w:r>
        <w:rPr>
          <w:rFonts w:ascii="Arial" w:eastAsia="Arial" w:hAnsi="Arial" w:cs="Arial"/>
          <w:b/>
          <w:sz w:val="24"/>
        </w:rPr>
        <w:t>.  10 MRSA §9722, sub-§6, ¶P,</w:t>
      </w:r>
      <w:r>
        <w:rPr>
          <w:rFonts w:ascii="Arial" w:eastAsia="Arial" w:hAnsi="Arial" w:cs="Arial"/>
        </w:rPr>
        <w:t xml:space="preserve"> as enacted by PL 2021, c. 524, §3, is amended to read:</w:t>
      </w:r>
    </w:p>
    <w:p w:rsidR="004E7637" w:rsidP="004E7637">
      <w:pPr>
        <w:ind w:left="720"/>
        <w:rPr>
          <w:rFonts w:ascii="Arial" w:eastAsia="Arial" w:hAnsi="Arial" w:cs="Arial"/>
        </w:rPr>
      </w:pPr>
      <w:bookmarkStart w:id="18" w:name="_STATUTE_NUMBER__a2b14e27_3d7d_47d6_9b27"/>
      <w:bookmarkStart w:id="19" w:name="_STATUTE_P__da0d7d76_0d1b_476d_95a6_657f"/>
      <w:bookmarkEnd w:id="15"/>
      <w:r>
        <w:rPr>
          <w:rFonts w:ascii="Arial" w:eastAsia="Arial" w:hAnsi="Arial" w:cs="Arial"/>
        </w:rPr>
        <w:t>P</w:t>
      </w:r>
      <w:bookmarkEnd w:id="18"/>
      <w:r>
        <w:rPr>
          <w:rFonts w:ascii="Arial" w:eastAsia="Arial" w:hAnsi="Arial" w:cs="Arial"/>
        </w:rPr>
        <w:t xml:space="preserve">.  </w:t>
      </w:r>
      <w:bookmarkStart w:id="20" w:name="_STATUTE_CONTENT__3cea1c37_d250_4dc9_925"/>
      <w:r>
        <w:rPr>
          <w:rFonts w:ascii="Arial" w:eastAsia="Arial" w:hAnsi="Arial" w:cs="Arial"/>
        </w:rPr>
        <w:t xml:space="preserve">Ensure, through the adoption of necessary amendments, that the Maine Uniform Building and Energy Code expressly allows the installation and use of acceptable refrigeration or air conditioning products or equipment as defined in </w:t>
      </w:r>
      <w:bookmarkStart w:id="21" w:name="_CROSS_REFERENCE__0af13535_4bd3_46a8_948"/>
      <w:r>
        <w:rPr>
          <w:rFonts w:ascii="Arial" w:eastAsia="Arial" w:hAnsi="Arial" w:cs="Arial"/>
        </w:rPr>
        <w:t>section 9724, subsection 7</w:t>
      </w:r>
      <w:bookmarkStart w:id="22" w:name="_REV__ae325a1b_57b4_449b_a4b0_6ee3a30312"/>
      <w:bookmarkStart w:id="23" w:name="_PROCESSED_CHANGE__f81d7fd4_7f51_4a19_a9"/>
      <w:bookmarkStart w:id="24" w:name="_PROCESSED_CHANGE__c83d61cf_2c68_45e3_b8"/>
      <w:bookmarkStart w:id="25" w:name="_PROCESSED_CHANGE__1a8b325d_19c4_49b4_b6"/>
      <w:bookmarkEnd w:id="21"/>
      <w:r>
        <w:rPr>
          <w:rFonts w:ascii="Arial" w:eastAsia="Arial" w:hAnsi="Arial" w:cs="Arial"/>
          <w:strike/>
        </w:rPr>
        <w:t>.</w:t>
      </w:r>
      <w:bookmarkStart w:id="26" w:name="_REV__4ab73f94_097a_4628_999f_92e94c9101"/>
      <w:bookmarkStart w:id="27" w:name="_PROCESSED_CHANGE__6289566c_b634_4cda_80"/>
      <w:bookmarkStart w:id="28" w:name="_PROCESSED_CHANGE__a531c9f2_4b13_4bb1_a2"/>
      <w:bookmarkStart w:id="29" w:name="_PROCESSED_CHANGE__4fb2e824_ec05_4110_b1"/>
      <w:bookmarkEnd w:id="22"/>
      <w:bookmarkEnd w:id="23"/>
      <w:bookmarkEnd w:id="24"/>
      <w:bookmarkEnd w:id="25"/>
      <w:r>
        <w:rPr>
          <w:rFonts w:ascii="Arial" w:eastAsia="Arial" w:hAnsi="Arial" w:cs="Arial"/>
          <w:u w:val="single"/>
        </w:rPr>
        <w:t>; and</w:t>
      </w:r>
      <w:bookmarkEnd w:id="20"/>
      <w:bookmarkEnd w:id="26"/>
      <w:bookmarkEnd w:id="27"/>
      <w:bookmarkEnd w:id="28"/>
      <w:bookmarkEnd w:id="29"/>
    </w:p>
    <w:p w:rsidR="004E7637" w:rsidP="004E7637">
      <w:pPr>
        <w:ind w:left="360" w:firstLine="360"/>
        <w:rPr>
          <w:rFonts w:ascii="Arial" w:eastAsia="Arial" w:hAnsi="Arial" w:cs="Arial"/>
        </w:rPr>
      </w:pPr>
      <w:bookmarkStart w:id="30" w:name="_BILL_SECTION_HEADER__29f8e19a_2e7d_434f"/>
      <w:bookmarkStart w:id="31" w:name="_BILL_SECTION__4a0e392d_62c7_488f_88ac_2"/>
      <w:bookmarkEnd w:id="16"/>
      <w:bookmarkEnd w:id="19"/>
      <w:r>
        <w:rPr>
          <w:rFonts w:ascii="Arial" w:eastAsia="Arial" w:hAnsi="Arial" w:cs="Arial"/>
          <w:b/>
          <w:sz w:val="24"/>
        </w:rPr>
        <w:t xml:space="preserve">Sec. </w:t>
      </w:r>
      <w:bookmarkStart w:id="32" w:name="_BILL_SECTION_NUMBER__4a5a25c9_979b_45e2"/>
      <w:r>
        <w:rPr>
          <w:rFonts w:ascii="Arial" w:eastAsia="Arial" w:hAnsi="Arial" w:cs="Arial"/>
          <w:b/>
          <w:sz w:val="24"/>
        </w:rPr>
        <w:t>3</w:t>
      </w:r>
      <w:bookmarkEnd w:id="32"/>
      <w:r>
        <w:rPr>
          <w:rFonts w:ascii="Arial" w:eastAsia="Arial" w:hAnsi="Arial" w:cs="Arial"/>
          <w:b/>
          <w:sz w:val="24"/>
        </w:rPr>
        <w:t>.  10 MRSA §9722, sub-§6, ¶Q</w:t>
      </w:r>
      <w:r>
        <w:rPr>
          <w:rFonts w:ascii="Arial" w:eastAsia="Arial" w:hAnsi="Arial" w:cs="Arial"/>
        </w:rPr>
        <w:t xml:space="preserve"> is enacted to read:</w:t>
      </w:r>
    </w:p>
    <w:p w:rsidR="00000000" w:rsidP="004E7637">
      <w:pPr>
        <w:ind w:left="720"/>
        <w:rPr>
          <w:rFonts w:ascii="Arial" w:eastAsia="Arial" w:hAnsi="Arial" w:cs="Arial"/>
        </w:rPr>
      </w:pPr>
      <w:bookmarkStart w:id="33" w:name="_STATUTE_NUMBER__576d4169_ef43_4797_b92a"/>
      <w:bookmarkStart w:id="34" w:name="_PROCESSED_CHANGE__13b67525_8c14_4cb8_90"/>
      <w:bookmarkStart w:id="35" w:name="_PROCESSED_CHANGE__224789c1_39eb_4729_81"/>
      <w:bookmarkStart w:id="36" w:name="_PROCESSED_CHANGE__739e2e45_cce2_49fe_a6"/>
      <w:bookmarkStart w:id="37" w:name="_PROCESSED_CHANGE__9383a2aa_40f1_41d1_a7"/>
      <w:bookmarkStart w:id="38" w:name="_REV__074eb99c_b4fd_4739_9ee4_0ae3debe2f"/>
      <w:bookmarkStart w:id="39" w:name="_STATUTE_P__104dcf56_4dca_47d7_9006_9aac"/>
      <w:bookmarkEnd w:id="30"/>
      <w:r>
        <w:rPr>
          <w:rFonts w:ascii="Arial" w:eastAsia="Arial" w:hAnsi="Arial" w:cs="Arial"/>
          <w:u w:val="single"/>
        </w:rPr>
        <w:t>Q</w:t>
      </w:r>
      <w:bookmarkEnd w:id="33"/>
      <w:r>
        <w:rPr>
          <w:rFonts w:ascii="Arial" w:eastAsia="Arial" w:hAnsi="Arial" w:cs="Arial"/>
          <w:u w:val="single"/>
        </w:rPr>
        <w:t xml:space="preserve">.  </w:t>
      </w:r>
      <w:bookmarkStart w:id="40" w:name="_STATUTE_CONTENT__209b5389_1fba_4779_b33"/>
      <w:r>
        <w:rPr>
          <w:rFonts w:ascii="Arial" w:eastAsia="Arial" w:hAnsi="Arial" w:cs="Arial"/>
          <w:u w:val="single"/>
        </w:rPr>
        <w:t>No later than December 1, 2023, adopt the standards set forth in the Canadian Standards Association Standard for Residential Mechanical Ventilation Systems, CAN/CSA-F326-M91, as an alternative path for compliance with the ASHRAE Standard 62.2 Ventilation and Acceptable Indoor Air Quality in Low-Rise Residential Buildings under the Maine Uniform Building and Energy Code.</w:t>
      </w:r>
      <w:r>
        <w:rPr>
          <w:rFonts w:ascii="Arial" w:eastAsia="Arial" w:hAnsi="Arial" w:cs="Arial"/>
          <w:u w:val="single"/>
        </w:rPr>
        <w:t xml:space="preserve"> For purposes of this paragraph, </w:t>
      </w:r>
      <w:r>
        <w:rPr>
          <w:rFonts w:ascii="Arial" w:eastAsia="Arial" w:hAnsi="Arial" w:cs="Arial"/>
          <w:u w:val="single"/>
        </w:rPr>
        <w:t>"</w:t>
      </w:r>
      <w:r>
        <w:rPr>
          <w:rFonts w:ascii="Arial" w:eastAsia="Arial" w:hAnsi="Arial" w:cs="Arial"/>
          <w:u w:val="single"/>
        </w:rPr>
        <w:t>ASHRAE</w:t>
      </w:r>
      <w:r>
        <w:rPr>
          <w:rFonts w:ascii="Arial" w:eastAsia="Arial" w:hAnsi="Arial" w:cs="Arial"/>
          <w:u w:val="single"/>
        </w:rPr>
        <w:t>"</w:t>
      </w:r>
      <w:r>
        <w:rPr>
          <w:rFonts w:ascii="Arial" w:eastAsia="Arial" w:hAnsi="Arial" w:cs="Arial"/>
          <w:u w:val="single"/>
        </w:rPr>
        <w:t xml:space="preserve"> has the same meaning as in section 1413, subsection 1.</w:t>
      </w:r>
      <w:bookmarkEnd w:id="2"/>
      <w:bookmarkEnd w:id="5"/>
      <w:bookmarkEnd w:id="6"/>
      <w:bookmarkEnd w:id="31"/>
      <w:bookmarkEnd w:id="34"/>
      <w:bookmarkEnd w:id="35"/>
      <w:bookmarkEnd w:id="36"/>
      <w:bookmarkEnd w:id="37"/>
      <w:bookmarkEnd w:id="38"/>
      <w:bookmarkEnd w:id="39"/>
      <w:bookmarkEnd w:id="4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LR1630,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Require the Technical Building Codes and Standards Board to Adopt the Canadian Standards Association Standard for Residential Mechanical Ventilation Systems as an Alternative Standard Under the Maine Uniform Building and Energy Code</w:t>
    </w:r>
  </w:p>
  <w:p>
    <w:pPr>
      <w:suppressLineNumbers/>
      <w:spacing w:before="0" w:after="0"/>
      <w:jc w:val="center"/>
      <w:rPr>
        <w:rFonts w:ascii="Arial" w:eastAsia="Arial" w:hAnsi="Arial" w:cs="Arial"/>
      </w:rPr>
    </w:pPr>
    <w:r>
      <w:rPr>
        <w:rFonts w:ascii="Arial" w:eastAsia="Arial" w:hAnsi="Arial" w:cs="Arial"/>
        <w:sz w:val="22"/>
      </w:rPr>
      <w:t>L.D. 1353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4E7637"/>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