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Commercial Lobster License Holders To Possess a Marine Harvesting Demonstration License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860 - L.D. 1182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Commercial Lobster License Holders To Possess a Marine Harvesting Demonstration License</w:t>
      </w:r>
    </w:p>
    <w:p w:rsidR="00EE4687" w:rsidP="00EE4687">
      <w:pPr>
        <w:ind w:left="360"/>
        <w:rPr>
          <w:rFonts w:ascii="Arial" w:eastAsia="Arial" w:hAnsi="Arial" w:cs="Arial"/>
        </w:rPr>
      </w:pPr>
      <w:bookmarkStart w:id="0" w:name="_ENACTING_CLAUSE__dcae47a2_b45b_41fd_a5d"/>
      <w:bookmarkStart w:id="1" w:name="_PAR__1_c31eab95_98e3_4737_984f_22671ac7"/>
      <w:bookmarkStart w:id="2" w:name="_DOC_BODY_CONTAINER__70692758_6b27_40e1_"/>
      <w:r>
        <w:rPr>
          <w:rFonts w:ascii="Arial" w:eastAsia="Arial" w:hAnsi="Arial" w:cs="Arial"/>
          <w:b/>
        </w:rPr>
        <w:t>Be it enacted by the People of the State of Maine as follows:</w:t>
      </w:r>
    </w:p>
    <w:p w:rsidR="00EE4687" w:rsidP="00EE4687">
      <w:pPr>
        <w:ind w:left="360" w:firstLine="360"/>
        <w:rPr>
          <w:rFonts w:ascii="Arial" w:eastAsia="Arial" w:hAnsi="Arial" w:cs="Arial"/>
        </w:rPr>
      </w:pPr>
      <w:bookmarkStart w:id="3" w:name="_BILL_SECTION_HEADER__ecf746aa_37dc_46a9"/>
      <w:bookmarkStart w:id="4" w:name="_PAR__2_0aed9578_ba9c_44ed_b03a_5a88f24c"/>
      <w:bookmarkStart w:id="5" w:name="_BILL_SECTION__3b11ba38_4ae3_4bb1_bc95_0"/>
      <w:bookmarkStart w:id="6" w:name="_DOC_BODY_CONTENT__93fed575_1470_49fe_b7"/>
      <w:bookmarkEnd w:id="0"/>
      <w:bookmarkEnd w:id="1"/>
      <w:r>
        <w:rPr>
          <w:rFonts w:ascii="Arial" w:eastAsia="Arial" w:hAnsi="Arial" w:cs="Arial"/>
          <w:b/>
          <w:sz w:val="24"/>
        </w:rPr>
        <w:t xml:space="preserve">Sec. </w:t>
      </w:r>
      <w:bookmarkStart w:id="7" w:name="_BILL_SECTION_NUMBER__d6110ba8_5027_45f1"/>
      <w:r>
        <w:rPr>
          <w:rFonts w:ascii="Arial" w:eastAsia="Arial" w:hAnsi="Arial" w:cs="Arial"/>
          <w:b/>
          <w:sz w:val="24"/>
        </w:rPr>
        <w:t>1</w:t>
      </w:r>
      <w:bookmarkEnd w:id="7"/>
      <w:r>
        <w:rPr>
          <w:rFonts w:ascii="Arial" w:eastAsia="Arial" w:hAnsi="Arial" w:cs="Arial"/>
          <w:b/>
          <w:sz w:val="24"/>
        </w:rPr>
        <w:t>.  12 MRSA §6810-A, sub-§1-A,</w:t>
      </w:r>
      <w:r>
        <w:rPr>
          <w:rFonts w:ascii="Arial" w:eastAsia="Arial" w:hAnsi="Arial" w:cs="Arial"/>
        </w:rPr>
        <w:t xml:space="preserve"> as enacted by PL 2017, c. 146, §2, is amended to read:</w:t>
      </w:r>
    </w:p>
    <w:p w:rsidR="00EE4687" w:rsidP="00EE4687">
      <w:pPr>
        <w:ind w:left="360" w:firstLine="360"/>
        <w:rPr>
          <w:rFonts w:ascii="Arial" w:eastAsia="Arial" w:hAnsi="Arial" w:cs="Arial"/>
        </w:rPr>
      </w:pPr>
      <w:bookmarkStart w:id="8" w:name="_STATUTE_NUMBER__28c2a27c_5a4d_4af4_927f"/>
      <w:bookmarkStart w:id="9" w:name="_STATUTE_SS__fcb49b44_558b_4452_a135_2a1"/>
      <w:bookmarkStart w:id="10" w:name="_PAR__3_ac7e29ca_b753_4441_99c6_4ce8a1d2"/>
      <w:bookmarkEnd w:id="3"/>
      <w:bookmarkEnd w:id="4"/>
      <w:r>
        <w:rPr>
          <w:rFonts w:ascii="Arial" w:eastAsia="Arial" w:hAnsi="Arial" w:cs="Arial"/>
          <w:b/>
        </w:rPr>
        <w:t>1-A</w:t>
      </w:r>
      <w:bookmarkEnd w:id="8"/>
      <w:r>
        <w:rPr>
          <w:rFonts w:ascii="Arial" w:eastAsia="Arial" w:hAnsi="Arial" w:cs="Arial"/>
          <w:b/>
        </w:rPr>
        <w:t xml:space="preserve">.  </w:t>
      </w:r>
      <w:bookmarkStart w:id="11" w:name="_STATUTE_HEADNOTE__ccf64e1c_c047_4464_b0"/>
      <w:r>
        <w:rPr>
          <w:rFonts w:ascii="Arial" w:eastAsia="Arial" w:hAnsi="Arial" w:cs="Arial"/>
          <w:b/>
        </w:rPr>
        <w:t>Eligibility.</w:t>
      </w:r>
      <w:bookmarkEnd w:id="11"/>
      <w:r>
        <w:rPr>
          <w:rFonts w:ascii="Arial" w:eastAsia="Arial" w:hAnsi="Arial" w:cs="Arial"/>
          <w:b/>
        </w:rPr>
        <w:t xml:space="preserve"> </w:t>
      </w:r>
      <w:r>
        <w:rPr>
          <w:rFonts w:ascii="Arial" w:eastAsia="Arial" w:hAnsi="Arial" w:cs="Arial"/>
        </w:rPr>
        <w:t xml:space="preserve"> </w:t>
      </w:r>
      <w:bookmarkStart w:id="12" w:name="_STATUTE_CONTENT__061d434a_216d_4edd_a0b"/>
      <w:r>
        <w:rPr>
          <w:rFonts w:ascii="Arial" w:eastAsia="Arial" w:hAnsi="Arial" w:cs="Arial"/>
        </w:rPr>
        <w:t xml:space="preserve">A marine harvesting demonstration license may be issued only to an individual, except that a person who holds a </w:t>
      </w:r>
      <w:r>
        <w:rPr>
          <w:rFonts w:ascii="Arial" w:eastAsia="Arial" w:hAnsi="Arial" w:cs="Arial"/>
          <w:strike/>
        </w:rPr>
        <w:t>Class I, Class II or Class III lobster and crab fishing license or a</w:t>
      </w:r>
      <w:r>
        <w:rPr>
          <w:rFonts w:ascii="Arial" w:eastAsia="Arial" w:hAnsi="Arial" w:cs="Arial"/>
        </w:rPr>
        <w:t xml:space="preserve"> noncommercial lobster and crab fishing license may not be issued a marine harvesting demonstration license.</w:t>
      </w:r>
      <w:bookmarkEnd w:id="12"/>
    </w:p>
    <w:p w:rsidR="00EE4687" w:rsidP="00EE4687">
      <w:pPr>
        <w:ind w:left="360" w:firstLine="360"/>
        <w:rPr>
          <w:rFonts w:ascii="Arial" w:eastAsia="Arial" w:hAnsi="Arial" w:cs="Arial"/>
        </w:rPr>
      </w:pPr>
      <w:bookmarkStart w:id="13" w:name="_BILL_SECTION_HEADER__9c9bcc7e_aa3f_4ecc"/>
      <w:bookmarkStart w:id="14" w:name="_PAR__4_8d4321dd_1856_42ce_b9a1_e8caf8af"/>
      <w:bookmarkStart w:id="15" w:name="_BILL_SECTION__4059d8ea_86f6_4c77_8511_2"/>
      <w:bookmarkEnd w:id="5"/>
      <w:bookmarkEnd w:id="9"/>
      <w:bookmarkEnd w:id="10"/>
      <w:r>
        <w:rPr>
          <w:rFonts w:ascii="Arial" w:eastAsia="Arial" w:hAnsi="Arial" w:cs="Arial"/>
          <w:b/>
          <w:sz w:val="24"/>
        </w:rPr>
        <w:t xml:space="preserve">Sec. </w:t>
      </w:r>
      <w:bookmarkStart w:id="16" w:name="_BILL_SECTION_NUMBER__af2628af_40ca_41eb"/>
      <w:r>
        <w:rPr>
          <w:rFonts w:ascii="Arial" w:eastAsia="Arial" w:hAnsi="Arial" w:cs="Arial"/>
          <w:b/>
          <w:sz w:val="24"/>
        </w:rPr>
        <w:t>2</w:t>
      </w:r>
      <w:bookmarkEnd w:id="16"/>
      <w:r>
        <w:rPr>
          <w:rFonts w:ascii="Arial" w:eastAsia="Arial" w:hAnsi="Arial" w:cs="Arial"/>
          <w:b/>
          <w:sz w:val="24"/>
        </w:rPr>
        <w:t>.  12 MRSA §6810-A, sub-§3,</w:t>
      </w:r>
      <w:r>
        <w:rPr>
          <w:rFonts w:ascii="Arial" w:eastAsia="Arial" w:hAnsi="Arial" w:cs="Arial"/>
        </w:rPr>
        <w:t xml:space="preserve"> as enacted by PL 2003, c. 169, §1 and affected by §3, is amended to read:</w:t>
      </w:r>
    </w:p>
    <w:p w:rsidR="00EE4687" w:rsidP="00EE4687">
      <w:pPr>
        <w:ind w:left="360" w:firstLine="360"/>
        <w:rPr>
          <w:rFonts w:ascii="Arial" w:eastAsia="Arial" w:hAnsi="Arial" w:cs="Arial"/>
        </w:rPr>
      </w:pPr>
      <w:bookmarkStart w:id="17" w:name="_STATUTE_NUMBER__3b25fc82_d1f0_4f2d_b3bc"/>
      <w:bookmarkStart w:id="18" w:name="_STATUTE_SS__dc3e5729_167a_439d_82f8_dfa"/>
      <w:bookmarkStart w:id="19" w:name="_PAR__5_4db3a192_9769_4f59_873e_faa07bad"/>
      <w:bookmarkEnd w:id="13"/>
      <w:bookmarkEnd w:id="14"/>
      <w:r>
        <w:rPr>
          <w:rFonts w:ascii="Arial" w:eastAsia="Arial" w:hAnsi="Arial" w:cs="Arial"/>
          <w:b/>
        </w:rPr>
        <w:t>3</w:t>
      </w:r>
      <w:bookmarkEnd w:id="17"/>
      <w:r>
        <w:rPr>
          <w:rFonts w:ascii="Arial" w:eastAsia="Arial" w:hAnsi="Arial" w:cs="Arial"/>
          <w:b/>
        </w:rPr>
        <w:t xml:space="preserve">.  </w:t>
      </w:r>
      <w:bookmarkStart w:id="20" w:name="_STATUTE_HEADNOTE__cd04a23b_24f4_45e3_9e"/>
      <w:r>
        <w:rPr>
          <w:rFonts w:ascii="Arial" w:eastAsia="Arial" w:hAnsi="Arial" w:cs="Arial"/>
          <w:b/>
        </w:rPr>
        <w:t>License limitations.</w:t>
      </w:r>
      <w:bookmarkEnd w:id="20"/>
      <w:r>
        <w:rPr>
          <w:rFonts w:ascii="Arial" w:eastAsia="Arial" w:hAnsi="Arial" w:cs="Arial"/>
          <w:b/>
        </w:rPr>
        <w:t xml:space="preserve"> </w:t>
      </w:r>
      <w:r>
        <w:rPr>
          <w:rFonts w:ascii="Arial" w:eastAsia="Arial" w:hAnsi="Arial" w:cs="Arial"/>
        </w:rPr>
        <w:t xml:space="preserve"> </w:t>
      </w:r>
      <w:bookmarkStart w:id="21" w:name="_STATUTE_CONTENT__2542222c_1bac_4053_b93"/>
      <w:r>
        <w:rPr>
          <w:rFonts w:ascii="Arial" w:eastAsia="Arial" w:hAnsi="Arial" w:cs="Arial"/>
        </w:rPr>
        <w:t xml:space="preserve">An individual who holds a marine harvesting demonstration license may not sell, retain, ship or transport any portion of the catch and shall release all organisms alive into the area from which the organisms were harvested.  A vessel identified under subsection 6 may not be used for the commercial harvest of marine organisms unless </w:t>
      </w:r>
      <w:r>
        <w:rPr>
          <w:rFonts w:ascii="Arial" w:eastAsia="Arial" w:hAnsi="Arial" w:cs="Arial"/>
          <w:u w:val="single"/>
        </w:rPr>
        <w:t xml:space="preserve">the operator of the vessel holds a </w:t>
      </w:r>
      <w:r>
        <w:rPr>
          <w:rFonts w:ascii="Arial" w:eastAsia="Arial" w:hAnsi="Arial" w:cs="Arial"/>
          <w:u w:val="single"/>
        </w:rPr>
        <w:t>Clas</w:t>
      </w:r>
      <w:r>
        <w:rPr>
          <w:rFonts w:ascii="Arial" w:eastAsia="Arial" w:hAnsi="Arial" w:cs="Arial"/>
          <w:u w:val="single"/>
        </w:rPr>
        <w:t>s I, Class II or Class III lobster and crab fishing</w:t>
      </w:r>
      <w:r>
        <w:rPr>
          <w:rFonts w:ascii="Arial" w:eastAsia="Arial" w:hAnsi="Arial" w:cs="Arial"/>
          <w:u w:val="single"/>
        </w:rPr>
        <w:t xml:space="preserve"> license or </w:t>
      </w:r>
      <w:r>
        <w:rPr>
          <w:rFonts w:ascii="Arial" w:eastAsia="Arial" w:hAnsi="Arial" w:cs="Arial"/>
          <w:u w:val="single"/>
        </w:rPr>
        <w:t>as</w:t>
      </w:r>
      <w:r>
        <w:rPr>
          <w:rFonts w:ascii="Arial" w:eastAsia="Arial" w:hAnsi="Arial" w:cs="Arial"/>
        </w:rPr>
        <w:t xml:space="preserve"> otherwise provided by the department.</w:t>
      </w:r>
      <w:bookmarkStart w:id="22" w:name="_ENGROSSING_REV__ad913fad_4135_40a7_a694"/>
      <w:bookmarkEnd w:id="22"/>
      <w:r>
        <w:rPr>
          <w:rFonts w:ascii="Arial" w:eastAsia="Arial" w:hAnsi="Arial" w:cs="Arial"/>
        </w:rPr>
        <w:t xml:space="preserve">  </w:t>
      </w:r>
      <w:bookmarkStart w:id="23" w:name="_REV__26cf63fd_123d_40dc_b67e_8cd5a56ebb"/>
      <w:bookmarkStart w:id="24" w:name="_PROCESSED_CHANGE__a9dc50cf_6682_4fe5_a4"/>
      <w:bookmarkStart w:id="25" w:name="_PROCESSED_CHANGE__dc267ad5_cb85_4be6_91"/>
      <w:bookmarkStart w:id="26" w:name="_INSTRUCTION__62279c73_0896_4e46_9098_0c"/>
      <w:r>
        <w:rPr>
          <w:rFonts w:ascii="Arial" w:eastAsia="Arial" w:hAnsi="Arial" w:cs="Arial"/>
          <w:u w:val="single"/>
        </w:rPr>
        <w:t>The trap limits of the vessel operated for the harvest of marine organisms under a Class I, Class II or Class II</w:t>
      </w:r>
      <w:r>
        <w:rPr>
          <w:rFonts w:ascii="Arial" w:eastAsia="Arial" w:hAnsi="Arial" w:cs="Arial"/>
          <w:u w:val="single"/>
        </w:rPr>
        <w:t>I</w:t>
      </w:r>
      <w:r>
        <w:rPr>
          <w:rFonts w:ascii="Arial" w:eastAsia="Arial" w:hAnsi="Arial" w:cs="Arial"/>
          <w:u w:val="single"/>
        </w:rPr>
        <w:t xml:space="preserve"> lobster and crab fishing license may not be exceeded under the marine harvesting demonstration license.</w:t>
      </w:r>
      <w:bookmarkEnd w:id="21"/>
      <w:bookmarkEnd w:id="23"/>
      <w:bookmarkEnd w:id="24"/>
      <w:bookmarkEnd w:id="25"/>
      <w:bookmarkEnd w:id="26"/>
    </w:p>
    <w:p w:rsidR="00EE4687" w:rsidP="00EE4687">
      <w:pPr>
        <w:ind w:left="360" w:firstLine="360"/>
        <w:rPr>
          <w:rFonts w:ascii="Arial" w:eastAsia="Arial" w:hAnsi="Arial" w:cs="Arial"/>
        </w:rPr>
      </w:pPr>
      <w:bookmarkStart w:id="27" w:name="_BILL_SECTION_HEADER__de48aa84_bdd3_4e2a"/>
      <w:bookmarkStart w:id="28" w:name="_PAR__6_17b31111_7b93_41f3_8a03_89867fbf"/>
      <w:bookmarkStart w:id="29" w:name="_BILL_SECTION__25e1560f_6559_4dc4_9d5f_a"/>
      <w:bookmarkEnd w:id="15"/>
      <w:bookmarkEnd w:id="18"/>
      <w:bookmarkEnd w:id="19"/>
      <w:r>
        <w:rPr>
          <w:rFonts w:ascii="Arial" w:eastAsia="Arial" w:hAnsi="Arial" w:cs="Arial"/>
          <w:b/>
          <w:sz w:val="24"/>
        </w:rPr>
        <w:t xml:space="preserve">Sec. </w:t>
      </w:r>
      <w:bookmarkStart w:id="30" w:name="_BILL_SECTION_NUMBER__8b5f9194_6309_458b"/>
      <w:r>
        <w:rPr>
          <w:rFonts w:ascii="Arial" w:eastAsia="Arial" w:hAnsi="Arial" w:cs="Arial"/>
          <w:b/>
          <w:sz w:val="24"/>
        </w:rPr>
        <w:t>3</w:t>
      </w:r>
      <w:bookmarkEnd w:id="30"/>
      <w:r>
        <w:rPr>
          <w:rFonts w:ascii="Arial" w:eastAsia="Arial" w:hAnsi="Arial" w:cs="Arial"/>
          <w:b/>
          <w:sz w:val="24"/>
        </w:rPr>
        <w:t>.  12 MRSA §6810-A, sub-§4, ¶C</w:t>
      </w:r>
      <w:r>
        <w:rPr>
          <w:rFonts w:ascii="Arial" w:eastAsia="Arial" w:hAnsi="Arial" w:cs="Arial"/>
        </w:rPr>
        <w:t xml:space="preserve"> is enacted to read:</w:t>
      </w:r>
    </w:p>
    <w:p w:rsidR="00EE4687" w:rsidP="00EE4687">
      <w:pPr>
        <w:ind w:left="720"/>
        <w:rPr>
          <w:rFonts w:ascii="Arial" w:eastAsia="Arial" w:hAnsi="Arial" w:cs="Arial"/>
        </w:rPr>
      </w:pPr>
      <w:bookmarkStart w:id="31" w:name="_STATUTE_NUMBER__ef1bf7ac_7f70_4a3a_9f86"/>
      <w:bookmarkStart w:id="32" w:name="_STATUTE_P__98bc03e5_37ba_4a49_b733_a9c3"/>
      <w:bookmarkStart w:id="33" w:name="_PAR__7_669798a2_51ab_4160_8743_08b1a13e"/>
      <w:bookmarkEnd w:id="27"/>
      <w:bookmarkEnd w:id="28"/>
      <w:r>
        <w:rPr>
          <w:rFonts w:ascii="Arial" w:eastAsia="Arial" w:hAnsi="Arial" w:cs="Arial"/>
          <w:u w:val="single"/>
        </w:rPr>
        <w:t>C</w:t>
      </w:r>
      <w:bookmarkEnd w:id="31"/>
      <w:r>
        <w:rPr>
          <w:rFonts w:ascii="Arial" w:eastAsia="Arial" w:hAnsi="Arial" w:cs="Arial"/>
          <w:u w:val="single"/>
        </w:rPr>
        <w:t xml:space="preserve">.  </w:t>
      </w:r>
      <w:bookmarkStart w:id="34" w:name="_STATUTE_CONTENT__931b0797_15a6_46e2_8f7"/>
      <w:r>
        <w:rPr>
          <w:rFonts w:ascii="Arial" w:eastAsia="Arial" w:hAnsi="Arial" w:cs="Arial"/>
          <w:u w:val="single"/>
        </w:rPr>
        <w:t xml:space="preserve">A marine harvesting demonstration license holder who also holds a Class I, Class II or Class III lobster and crab fishing license </w:t>
      </w:r>
      <w:r>
        <w:rPr>
          <w:rFonts w:ascii="Arial" w:eastAsia="Arial" w:hAnsi="Arial" w:cs="Arial"/>
          <w:u w:val="single"/>
        </w:rPr>
        <w:t>shall</w:t>
      </w:r>
      <w:r>
        <w:rPr>
          <w:rFonts w:ascii="Arial" w:eastAsia="Arial" w:hAnsi="Arial" w:cs="Arial"/>
          <w:u w:val="single"/>
        </w:rPr>
        <w:t xml:space="preserve"> use a </w:t>
      </w:r>
      <w:bookmarkStart w:id="35" w:name="_ENGROSSING_REV__f3535bcb_827f_4837_8289"/>
      <w:bookmarkStart w:id="36" w:name="_REV__eb847980_d411_4908_810a_b7e78792aa"/>
      <w:bookmarkStart w:id="37" w:name="_PROCESSED_CHANGE__92d6ead0_bdd2_4cd9_93"/>
      <w:bookmarkStart w:id="38" w:name="_PROCESSED_CHANGE__6500d233_e602_4112_b0"/>
      <w:bookmarkEnd w:id="35"/>
      <w:r>
        <w:rPr>
          <w:rFonts w:ascii="Arial" w:eastAsia="Arial" w:hAnsi="Arial" w:cs="Arial"/>
          <w:u w:val="single"/>
        </w:rPr>
        <w:t>buoy different in color and pattern</w:t>
      </w:r>
      <w:bookmarkEnd w:id="36"/>
      <w:bookmarkEnd w:id="37"/>
      <w:bookmarkEnd w:id="38"/>
      <w:r>
        <w:rPr>
          <w:rFonts w:ascii="Arial" w:eastAsia="Arial" w:hAnsi="Arial" w:cs="Arial"/>
          <w:u w:val="single"/>
        </w:rPr>
        <w:t xml:space="preserve"> </w:t>
      </w:r>
      <w:r>
        <w:rPr>
          <w:rFonts w:ascii="Arial" w:eastAsia="Arial" w:hAnsi="Arial" w:cs="Arial"/>
          <w:u w:val="single"/>
        </w:rPr>
        <w:t>and a different tag for fishing activities under subsection 2 than the buoy the individual uses for commercial harvesting</w:t>
      </w:r>
      <w:r>
        <w:rPr>
          <w:rFonts w:ascii="Arial" w:eastAsia="Arial" w:hAnsi="Arial" w:cs="Arial"/>
          <w:u w:val="single"/>
        </w:rPr>
        <w:t>.</w:t>
      </w:r>
    </w:p>
    <w:p w:rsidR="00EE4687" w:rsidP="00EE4687">
      <w:pPr>
        <w:ind w:left="360" w:firstLine="360"/>
        <w:rPr>
          <w:rFonts w:ascii="Arial" w:eastAsia="Arial" w:hAnsi="Arial" w:cs="Arial"/>
        </w:rPr>
      </w:pPr>
      <w:bookmarkStart w:id="39" w:name="_BILL_SECTION_HEADER__8d71c5d7_70a4_4e65"/>
      <w:bookmarkStart w:id="40" w:name="_PAR__8_9e2f71f5_99d3_4c06_9369_ec0e7f2a"/>
      <w:bookmarkStart w:id="41" w:name="_BILL_SECTION__894b9026_2794_4150_907a_0"/>
      <w:bookmarkEnd w:id="29"/>
      <w:bookmarkEnd w:id="32"/>
      <w:bookmarkEnd w:id="33"/>
      <w:bookmarkEnd w:id="34"/>
      <w:r>
        <w:rPr>
          <w:rFonts w:ascii="Arial" w:eastAsia="Arial" w:hAnsi="Arial" w:cs="Arial"/>
          <w:b/>
          <w:sz w:val="24"/>
        </w:rPr>
        <w:t xml:space="preserve">Sec. </w:t>
      </w:r>
      <w:bookmarkStart w:id="42" w:name="_BILL_SECTION_NUMBER__a6aae1c7_5d37_45fb"/>
      <w:r>
        <w:rPr>
          <w:rFonts w:ascii="Arial" w:eastAsia="Arial" w:hAnsi="Arial" w:cs="Arial"/>
          <w:b/>
          <w:sz w:val="24"/>
        </w:rPr>
        <w:t>4</w:t>
      </w:r>
      <w:bookmarkEnd w:id="42"/>
      <w:r>
        <w:rPr>
          <w:rFonts w:ascii="Arial" w:eastAsia="Arial" w:hAnsi="Arial" w:cs="Arial"/>
          <w:b/>
          <w:sz w:val="24"/>
        </w:rPr>
        <w:t>.  12 MRSA §6810-A, sub-§7-A,</w:t>
      </w:r>
      <w:r>
        <w:rPr>
          <w:rFonts w:ascii="Arial" w:eastAsia="Arial" w:hAnsi="Arial" w:cs="Arial"/>
        </w:rPr>
        <w:t xml:space="preserve"> as enacted by PL 2017, c. 146, §3, is amended to read:</w:t>
      </w:r>
    </w:p>
    <w:p w:rsidR="00EE4687" w:rsidP="00EE4687">
      <w:pPr>
        <w:ind w:left="360" w:firstLine="360"/>
        <w:rPr>
          <w:rFonts w:ascii="Arial" w:eastAsia="Arial" w:hAnsi="Arial" w:cs="Arial"/>
        </w:rPr>
      </w:pPr>
      <w:bookmarkStart w:id="43" w:name="_STATUTE_NUMBER__f32b1a74_7f84_428c_b228"/>
      <w:bookmarkStart w:id="44" w:name="_STATUTE_SS__8c415ce3_5709_451b_b48c_526"/>
      <w:bookmarkStart w:id="45" w:name="_PAR__9_cca4d193_7315_4474_8e03_141a6194"/>
      <w:bookmarkEnd w:id="39"/>
      <w:bookmarkEnd w:id="40"/>
      <w:r>
        <w:rPr>
          <w:rFonts w:ascii="Arial" w:eastAsia="Arial" w:hAnsi="Arial" w:cs="Arial"/>
          <w:b/>
        </w:rPr>
        <w:t>7-A</w:t>
      </w:r>
      <w:bookmarkEnd w:id="43"/>
      <w:r>
        <w:rPr>
          <w:rFonts w:ascii="Arial" w:eastAsia="Arial" w:hAnsi="Arial" w:cs="Arial"/>
          <w:b/>
        </w:rPr>
        <w:t xml:space="preserve">.  </w:t>
      </w:r>
      <w:bookmarkStart w:id="46" w:name="_STATUTE_HEADNOTE__c5e62a65_13d8_464f_95"/>
      <w:r>
        <w:rPr>
          <w:rFonts w:ascii="Arial" w:eastAsia="Arial" w:hAnsi="Arial" w:cs="Arial"/>
          <w:b/>
        </w:rPr>
        <w:t>Closed period exemption.</w:t>
      </w:r>
      <w:bookmarkEnd w:id="46"/>
      <w:r>
        <w:rPr>
          <w:rFonts w:ascii="Arial" w:eastAsia="Arial" w:hAnsi="Arial" w:cs="Arial"/>
          <w:b/>
        </w:rPr>
        <w:t xml:space="preserve"> </w:t>
      </w:r>
      <w:r>
        <w:rPr>
          <w:rFonts w:ascii="Arial" w:eastAsia="Arial" w:hAnsi="Arial" w:cs="Arial"/>
        </w:rPr>
        <w:t xml:space="preserve"> </w:t>
      </w:r>
      <w:bookmarkStart w:id="47" w:name="_STATUTE_CONTENT__f7b39a0a_4605_45c7_a14"/>
      <w:r>
        <w:rPr>
          <w:rFonts w:ascii="Arial" w:eastAsia="Arial" w:hAnsi="Arial" w:cs="Arial"/>
        </w:rPr>
        <w:t xml:space="preserve">The holder of a marine harvesting demonstration license is exempt from the prohibition on raising or hauling any lobster trap pursuant to </w:t>
      </w:r>
      <w:bookmarkStart w:id="48" w:name="_CROSS_REFERENCE__fe5d7046_0b63_4a2c_875"/>
      <w:r>
        <w:rPr>
          <w:rFonts w:ascii="Arial" w:eastAsia="Arial" w:hAnsi="Arial" w:cs="Arial"/>
        </w:rPr>
        <w:t>section 6440, subsection 2</w:t>
      </w:r>
      <w:bookmarkEnd w:id="48"/>
      <w:r>
        <w:rPr>
          <w:rFonts w:ascii="Arial" w:eastAsia="Arial" w:hAnsi="Arial" w:cs="Arial"/>
        </w:rPr>
        <w:t xml:space="preserve"> when raising or hauling lobster traps from the vessel identified on the marine harvesting demonstration license</w:t>
      </w:r>
      <w:r w:rsidRPr="00F650A9">
        <w:rPr>
          <w:rFonts w:ascii="Arial" w:eastAsia="Arial" w:hAnsi="Arial" w:cs="Arial"/>
        </w:rPr>
        <w:t xml:space="preserve"> </w:t>
      </w:r>
      <w:r>
        <w:rPr>
          <w:rFonts w:ascii="Arial" w:eastAsia="Arial" w:hAnsi="Arial" w:cs="Arial"/>
          <w:u w:val="single"/>
        </w:rPr>
        <w:t>while engaging in fishing activities under subsection 2</w:t>
      </w:r>
      <w:r>
        <w:rPr>
          <w:rFonts w:ascii="Arial" w:eastAsia="Arial" w:hAnsi="Arial" w:cs="Arial"/>
        </w:rPr>
        <w:t>.</w:t>
      </w:r>
      <w:bookmarkEnd w:id="47"/>
    </w:p>
    <w:p w:rsidR="00EE4687" w:rsidP="00EE4687">
      <w:pPr>
        <w:ind w:left="360" w:firstLine="360"/>
        <w:rPr>
          <w:rFonts w:ascii="Arial" w:eastAsia="Arial" w:hAnsi="Arial" w:cs="Arial"/>
        </w:rPr>
      </w:pPr>
      <w:bookmarkStart w:id="49" w:name="_BILL_SECTION_HEADER__55eb477f_0c6c_4201"/>
      <w:bookmarkStart w:id="50" w:name="_BILL_SECTION__d87514f7_a33b_419f_8b1e_b"/>
      <w:bookmarkStart w:id="51" w:name="_INSTRUCTION__d9c164a0_3710_4eb1_b9c9_73"/>
      <w:bookmarkEnd w:id="41"/>
      <w:bookmarkEnd w:id="44"/>
      <w:bookmarkEnd w:id="45"/>
      <w:r>
        <w:rPr>
          <w:rFonts w:ascii="Arial" w:eastAsia="Arial" w:hAnsi="Arial" w:cs="Arial"/>
          <w:b/>
          <w:sz w:val="24"/>
        </w:rPr>
        <w:t xml:space="preserve">Sec. </w:t>
      </w:r>
      <w:bookmarkStart w:id="52" w:name="_BILL_SECTION_NUMBER__a0b3f0df_ec7f_458f"/>
      <w:r>
        <w:rPr>
          <w:rFonts w:ascii="Arial" w:eastAsia="Arial" w:hAnsi="Arial" w:cs="Arial"/>
          <w:b/>
          <w:sz w:val="24"/>
        </w:rPr>
        <w:t>5</w:t>
      </w:r>
      <w:bookmarkEnd w:id="52"/>
      <w:r>
        <w:rPr>
          <w:rFonts w:ascii="Arial" w:eastAsia="Arial" w:hAnsi="Arial" w:cs="Arial"/>
          <w:b/>
          <w:sz w:val="24"/>
        </w:rPr>
        <w:t>.  12 MRSA §6810-A, sub-§11,</w:t>
      </w:r>
      <w:r>
        <w:rPr>
          <w:rFonts w:ascii="Arial" w:eastAsia="Arial" w:hAnsi="Arial" w:cs="Arial"/>
        </w:rPr>
        <w:t xml:space="preserve"> as amended by PL 2017, c. 146, §4, is further amended to read:</w:t>
      </w:r>
    </w:p>
    <w:p w:rsidR="00000000" w:rsidP="00EE4687">
      <w:pPr>
        <w:ind w:left="360" w:firstLine="360"/>
        <w:rPr>
          <w:rFonts w:ascii="Arial" w:eastAsia="Arial" w:hAnsi="Arial" w:cs="Arial"/>
        </w:rPr>
      </w:pPr>
      <w:bookmarkStart w:id="53" w:name="_STATUTE_NUMBER__f2278981_86ce_4c21_8950"/>
      <w:bookmarkStart w:id="54" w:name="_STATUTE_SS__1ca332f6_0132_4a9d_af0a_089"/>
      <w:bookmarkEnd w:id="49"/>
      <w:r>
        <w:rPr>
          <w:rFonts w:ascii="Arial" w:eastAsia="Arial" w:hAnsi="Arial" w:cs="Arial"/>
          <w:b/>
        </w:rPr>
        <w:t>11</w:t>
      </w:r>
      <w:bookmarkEnd w:id="53"/>
      <w:r>
        <w:rPr>
          <w:rFonts w:ascii="Arial" w:eastAsia="Arial" w:hAnsi="Arial" w:cs="Arial"/>
          <w:b/>
        </w:rPr>
        <w:t xml:space="preserve">.  </w:t>
      </w:r>
      <w:bookmarkStart w:id="55" w:name="_STATUTE_HEADNOTE__b7bb8390_841b_4431_8d"/>
      <w:r>
        <w:rPr>
          <w:rFonts w:ascii="Arial" w:eastAsia="Arial" w:hAnsi="Arial" w:cs="Arial"/>
          <w:b/>
        </w:rPr>
        <w:t>Penalties.</w:t>
      </w:r>
      <w:bookmarkEnd w:id="55"/>
      <w:r>
        <w:rPr>
          <w:rFonts w:ascii="Arial" w:eastAsia="Arial" w:hAnsi="Arial" w:cs="Arial"/>
          <w:b/>
        </w:rPr>
        <w:t xml:space="preserve"> </w:t>
      </w:r>
      <w:r>
        <w:rPr>
          <w:rFonts w:ascii="Arial" w:eastAsia="Arial" w:hAnsi="Arial" w:cs="Arial"/>
        </w:rPr>
        <w:t xml:space="preserve"> </w:t>
      </w:r>
      <w:bookmarkStart w:id="56" w:name="_STATUTE_CONTENT__27a3259c_fa80_4b1c_97f"/>
      <w:r>
        <w:rPr>
          <w:rFonts w:ascii="Arial" w:eastAsia="Arial" w:hAnsi="Arial" w:cs="Arial"/>
        </w:rPr>
        <w:t>A person who violates this section commits a civil violation for which a fine of not less than $100 nor more than $1,000 may be adjudged.</w:t>
      </w:r>
      <w:bookmarkStart w:id="57" w:name="_REV__25de031c_14c9_4855_87e5_7127e07231"/>
      <w:bookmarkStart w:id="58" w:name="_PROCESSED_CHANGE__e605e735_3285_488b_80"/>
      <w:bookmarkStart w:id="59" w:name="_PROCESSED_CHANGE__cf6604d1_8565_445a_b4"/>
      <w:r>
        <w:rPr>
          <w:rFonts w:ascii="Arial" w:eastAsia="Arial" w:hAnsi="Arial" w:cs="Arial"/>
        </w:rPr>
        <w:t xml:space="preserve">  </w:t>
      </w:r>
      <w:r>
        <w:rPr>
          <w:rFonts w:ascii="Arial" w:eastAsia="Arial" w:hAnsi="Arial" w:cs="Arial"/>
          <w:u w:val="single"/>
        </w:rPr>
        <w:t>The commission</w:t>
      </w:r>
      <w:r>
        <w:rPr>
          <w:rFonts w:ascii="Arial" w:eastAsia="Arial" w:hAnsi="Arial" w:cs="Arial"/>
          <w:u w:val="single"/>
        </w:rPr>
        <w:t>er</w:t>
      </w:r>
      <w:r>
        <w:rPr>
          <w:rFonts w:ascii="Arial" w:eastAsia="Arial" w:hAnsi="Arial" w:cs="Arial"/>
          <w:u w:val="single"/>
        </w:rPr>
        <w:t xml:space="preserve"> may suspend the Class I, Class II or Class III lobster and crab fishing license of a person who violates this section.</w:t>
      </w:r>
      <w:bookmarkEnd w:id="57"/>
      <w:bookmarkEnd w:id="58"/>
      <w:bookmarkEnd w:id="59"/>
      <w:r>
        <w:rPr>
          <w:rFonts w:ascii="Arial" w:eastAsia="Arial" w:hAnsi="Arial" w:cs="Arial"/>
        </w:rPr>
        <w:t xml:space="preserve">  Notwithstanding </w:t>
      </w:r>
      <w:bookmarkStart w:id="60" w:name="_CROSS_REFERENCE__45d2301c_9448_4ab5_9a6"/>
      <w:r>
        <w:rPr>
          <w:rFonts w:ascii="Arial" w:eastAsia="Arial" w:hAnsi="Arial" w:cs="Arial"/>
        </w:rPr>
        <w:t>section 6401, subsection 2</w:t>
      </w:r>
      <w:bookmarkEnd w:id="60"/>
      <w:r>
        <w:rPr>
          <w:rFonts w:ascii="Arial" w:eastAsia="Arial" w:hAnsi="Arial" w:cs="Arial"/>
        </w:rPr>
        <w:t>, the commissioner may permanently revoke the marine harvesting demonstration license of a person who sells, retains, ships or transports any portion of the catch or does not release all organisms alive into the area from which the organisms were harvested pursuant to subsection 3.</w:t>
      </w:r>
      <w:bookmarkEnd w:id="56"/>
      <w:bookmarkEnd w:id="2"/>
      <w:bookmarkEnd w:id="6"/>
      <w:bookmarkEnd w:id="50"/>
      <w:bookmarkEnd w:id="51"/>
      <w:bookmarkEnd w:id="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LR0225,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Commercial Lobster License Holders To Possess a Marine Harvesting Demonstration License</w:t>
    </w:r>
  </w:p>
  <w:p>
    <w:pPr>
      <w:suppressLineNumbers/>
      <w:spacing w:before="0" w:after="0"/>
      <w:jc w:val="center"/>
      <w:rPr>
        <w:rFonts w:ascii="Arial" w:eastAsia="Arial" w:hAnsi="Arial" w:cs="Arial"/>
      </w:rPr>
    </w:pPr>
    <w:r>
      <w:rPr>
        <w:rFonts w:ascii="Arial" w:eastAsia="Arial" w:hAnsi="Arial" w:cs="Arial"/>
        <w:sz w:val="22"/>
      </w:rPr>
      <w:t>L.D. 1182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E4687"/>
    <w:rsid w:val="00F23B45"/>
    <w:rsid w:val="00F650A9"/>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