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Phase Out Insurance Rating Based on Smoking History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828 - L.D. 1150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Phase Out Insurance Rating Based on Smoking History</w:t>
      </w:r>
    </w:p>
    <w:p w:rsidR="00BB69D4" w:rsidP="00BB69D4">
      <w:pPr>
        <w:ind w:left="360"/>
        <w:rPr>
          <w:rFonts w:ascii="Arial" w:eastAsia="Arial" w:hAnsi="Arial" w:cs="Arial"/>
        </w:rPr>
      </w:pPr>
      <w:bookmarkStart w:id="0" w:name="_ENACTING_CLAUSE__d7960c78_3927_47a5_bb0"/>
      <w:bookmarkStart w:id="1" w:name="_PAR__1_fb18d8cd_b251_4806_88a8_95a11aea"/>
      <w:bookmarkStart w:id="2" w:name="_DOC_BODY_CONTAINER__950f6ce0_18ff_4b53_"/>
      <w:r>
        <w:rPr>
          <w:rFonts w:ascii="Arial" w:eastAsia="Arial" w:hAnsi="Arial" w:cs="Arial"/>
          <w:b/>
        </w:rPr>
        <w:t>Be it enacted by the People of the State of Maine as follows:</w:t>
      </w:r>
    </w:p>
    <w:p w:rsidR="00BB69D4" w:rsidP="00BB69D4">
      <w:pPr>
        <w:ind w:left="360" w:firstLine="360"/>
        <w:rPr>
          <w:rFonts w:ascii="Arial" w:eastAsia="Arial" w:hAnsi="Arial" w:cs="Arial"/>
        </w:rPr>
      </w:pPr>
      <w:bookmarkStart w:id="3" w:name="_BILL_SECTION_HEADER__c87d2516_f86d_453f"/>
      <w:bookmarkStart w:id="4" w:name="_BILL_SECTION__7af3f106_dc84_4a21_90a9_2"/>
      <w:bookmarkStart w:id="5" w:name="_INSTRUCTION__0359617b_54b0_4e4c_8024_39"/>
      <w:bookmarkStart w:id="6" w:name="_DOC_BODY_CONTENT__41c91088_6c0b_4045_80"/>
      <w:bookmarkEnd w:id="0"/>
      <w:bookmarkEnd w:id="1"/>
      <w:r>
        <w:rPr>
          <w:rFonts w:ascii="Arial" w:eastAsia="Arial" w:hAnsi="Arial" w:cs="Arial"/>
          <w:b/>
          <w:sz w:val="24"/>
        </w:rPr>
        <w:t xml:space="preserve">Sec. </w:t>
      </w:r>
      <w:bookmarkStart w:id="7" w:name="_BILL_SECTION_NUMBER__c878608a_fb3c_4883"/>
      <w:r>
        <w:rPr>
          <w:rFonts w:ascii="Arial" w:eastAsia="Arial" w:hAnsi="Arial" w:cs="Arial"/>
          <w:b/>
          <w:sz w:val="24"/>
        </w:rPr>
        <w:t>1</w:t>
      </w:r>
      <w:bookmarkEnd w:id="7"/>
      <w:r>
        <w:rPr>
          <w:rFonts w:ascii="Arial" w:eastAsia="Arial" w:hAnsi="Arial" w:cs="Arial"/>
          <w:b/>
          <w:sz w:val="24"/>
        </w:rPr>
        <w:t>.  24-A MRSA §2736-C, sub-§2, ¶D,</w:t>
      </w:r>
      <w:r>
        <w:rPr>
          <w:rFonts w:ascii="Arial" w:eastAsia="Arial" w:hAnsi="Arial" w:cs="Arial"/>
        </w:rPr>
        <w:t xml:space="preserve"> as amended by PL 2019, c. 5, Pt. A, §3, is further amended by amending subparagraph (8) to read:</w:t>
      </w:r>
    </w:p>
    <w:p w:rsidR="00BB69D4" w:rsidP="00BB69D4">
      <w:pPr>
        <w:ind w:left="1080"/>
        <w:rPr>
          <w:rFonts w:ascii="Arial" w:eastAsia="Arial" w:hAnsi="Arial" w:cs="Arial"/>
        </w:rPr>
      </w:pPr>
      <w:bookmarkStart w:id="8" w:name="_STATUTE_SP__a9ec94b3_b05f_44fe_a797_5e7"/>
      <w:bookmarkEnd w:id="3"/>
      <w:r>
        <w:rPr>
          <w:rFonts w:ascii="Arial" w:eastAsia="Arial" w:hAnsi="Arial" w:cs="Arial"/>
        </w:rPr>
        <w:t>(</w:t>
      </w:r>
      <w:bookmarkStart w:id="9" w:name="_STATUTE_NUMBER__03568303_227d_4468_a0ec"/>
      <w:r>
        <w:rPr>
          <w:rFonts w:ascii="Arial" w:eastAsia="Arial" w:hAnsi="Arial" w:cs="Arial"/>
        </w:rPr>
        <w:t>8</w:t>
      </w:r>
      <w:bookmarkEnd w:id="9"/>
      <w:r>
        <w:rPr>
          <w:rFonts w:ascii="Arial" w:eastAsia="Arial" w:hAnsi="Arial" w:cs="Arial"/>
        </w:rPr>
        <w:t xml:space="preserve">)  </w:t>
      </w:r>
      <w:bookmarkStart w:id="10" w:name="_STATUTE_CONTENT__b2c1518d_21f1_47af_813"/>
      <w:r>
        <w:rPr>
          <w:rFonts w:ascii="Arial" w:eastAsia="Arial" w:hAnsi="Arial" w:cs="Arial"/>
        </w:rPr>
        <w:t xml:space="preserve">For all policies, contracts or certificates that are executed, delivered, issued for delivery, continued or renewed in this State </w:t>
      </w:r>
      <w:bookmarkStart w:id="11" w:name="_REV__09f19320_7832_45f2_815b_0927d199b2"/>
      <w:bookmarkStart w:id="12" w:name="_PROCESSED_CHANGE__85aafb2e_cb32_49ed_9f"/>
      <w:r>
        <w:rPr>
          <w:rFonts w:ascii="Arial" w:eastAsia="Arial" w:hAnsi="Arial" w:cs="Arial"/>
          <w:strike/>
        </w:rPr>
        <w:t>on or after</w:t>
      </w:r>
      <w:r>
        <w:rPr>
          <w:rFonts w:ascii="Arial" w:eastAsia="Arial" w:hAnsi="Arial" w:cs="Arial"/>
        </w:rPr>
        <w:t xml:space="preserve"> </w:t>
      </w:r>
      <w:bookmarkStart w:id="13" w:name="_REV__17b692e0_7db6_448f_94fd_79589b2388"/>
      <w:bookmarkStart w:id="14" w:name="_PROCESSED_CHANGE__5512e3c9_1eea_4570_8b"/>
      <w:bookmarkEnd w:id="11"/>
      <w:bookmarkEnd w:id="12"/>
      <w:r>
        <w:rPr>
          <w:rFonts w:ascii="Arial" w:eastAsia="Arial" w:hAnsi="Arial" w:cs="Arial"/>
          <w:u w:val="single"/>
        </w:rPr>
        <w:t>between</w:t>
      </w:r>
      <w:r>
        <w:rPr>
          <w:rFonts w:ascii="Arial" w:eastAsia="Arial" w:hAnsi="Arial" w:cs="Arial"/>
        </w:rPr>
        <w:t xml:space="preserve"> </w:t>
      </w:r>
      <w:bookmarkEnd w:id="13"/>
      <w:bookmarkEnd w:id="14"/>
      <w:r>
        <w:rPr>
          <w:rFonts w:ascii="Arial" w:eastAsia="Arial" w:hAnsi="Arial" w:cs="Arial"/>
        </w:rPr>
        <w:t>July 1, 2012</w:t>
      </w:r>
      <w:bookmarkStart w:id="15" w:name="_REV__4a1a9369_8c62_48e5_b6c5_ec9ba075a4"/>
      <w:bookmarkStart w:id="16" w:name="_PROCESSED_CHANGE__0a958061_d3a7_4139_b9"/>
      <w:r>
        <w:rPr>
          <w:rFonts w:ascii="Arial" w:eastAsia="Arial" w:hAnsi="Arial" w:cs="Arial"/>
        </w:rPr>
        <w:t xml:space="preserve"> </w:t>
      </w:r>
      <w:r>
        <w:rPr>
          <w:rFonts w:ascii="Arial" w:eastAsia="Arial" w:hAnsi="Arial" w:cs="Arial"/>
          <w:u w:val="single"/>
        </w:rPr>
        <w:t>and December 31, 2022</w:t>
      </w:r>
      <w:bookmarkEnd w:id="15"/>
      <w:bookmarkEnd w:id="16"/>
      <w:r>
        <w:rPr>
          <w:rFonts w:ascii="Arial" w:eastAsia="Arial" w:hAnsi="Arial" w:cs="Arial"/>
        </w:rPr>
        <w:t>, the maximum rate differential due to tobacco use filed by the carrier as determined by ratio is 1.5 to 1, except that the carrier may not apply a rate differential pursuant to this subparagraph when the covered individual is participating in an evidence-based tobacco cessation strategy approved by the United States Department of Health and Human Services, Food and Drug Administration.</w:t>
      </w:r>
      <w:bookmarkStart w:id="17" w:name="_REV__0bceb4cd_a0e4_4f1d_a492_72ef90e648"/>
      <w:bookmarkStart w:id="18" w:name="_PROCESSED_CHANGE__1e0b7be6_43d3_4d84_98"/>
      <w:r>
        <w:rPr>
          <w:rFonts w:ascii="Arial" w:eastAsia="Arial" w:hAnsi="Arial" w:cs="Arial"/>
        </w:rPr>
        <w:t xml:space="preserve">  </w:t>
      </w:r>
      <w:r>
        <w:rPr>
          <w:rFonts w:ascii="Arial" w:eastAsia="Arial" w:hAnsi="Arial" w:cs="Arial"/>
          <w:u w:val="single"/>
        </w:rPr>
        <w:t xml:space="preserve">For all policies, contracts or certificates that are executed, delivered, issued for delivery, continued or renewed in this State between January 1, 2023 and December 31, 2023, the maximum rate differential due to tobacco use filed by the carrier as determined by ratio is 1.25 to 1, except that the carrier may not apply a rate differential pursuant to this subparagraph when the covered individual is participating in an evidence-based tobacco cessation strategy approved by the United States Department of Health and Human Services, Food and Drug Administration. </w:t>
      </w:r>
      <w:r>
        <w:rPr>
          <w:rFonts w:ascii="Arial" w:eastAsia="Arial" w:hAnsi="Arial" w:cs="Arial"/>
          <w:u w:val="single"/>
        </w:rPr>
        <w:t xml:space="preserve"> </w:t>
      </w:r>
      <w:r>
        <w:rPr>
          <w:rFonts w:ascii="Arial" w:eastAsia="Arial" w:hAnsi="Arial" w:cs="Arial"/>
          <w:u w:val="single"/>
        </w:rPr>
        <w:t>For all policies, contracts or certificates that are executed, delivered, issued for delivery, continued or renewed in this State on or after January 1, 2024, a carrier may not vary the premium rate due to tobacco use.</w:t>
      </w:r>
      <w:bookmarkEnd w:id="10"/>
      <w:bookmarkEnd w:id="17"/>
      <w:bookmarkEnd w:id="18"/>
    </w:p>
    <w:p w:rsidR="00BB69D4" w:rsidP="00BB69D4">
      <w:pPr>
        <w:ind w:left="360" w:firstLine="360"/>
        <w:rPr>
          <w:rFonts w:ascii="Arial" w:eastAsia="Arial" w:hAnsi="Arial" w:cs="Arial"/>
        </w:rPr>
      </w:pPr>
      <w:bookmarkStart w:id="19" w:name="_BILL_SECTION_HEADER__0b5e16fe_151e_4273"/>
      <w:bookmarkStart w:id="20" w:name="_BILL_SECTION__c7214b64_45ac_41d0_bb81_b"/>
      <w:bookmarkEnd w:id="4"/>
      <w:bookmarkEnd w:id="8"/>
      <w:r>
        <w:rPr>
          <w:rFonts w:ascii="Arial" w:eastAsia="Arial" w:hAnsi="Arial" w:cs="Arial"/>
          <w:b/>
          <w:sz w:val="24"/>
        </w:rPr>
        <w:t xml:space="preserve">Sec. </w:t>
      </w:r>
      <w:bookmarkStart w:id="21" w:name="_BILL_SECTION_NUMBER__da98666d_2dd2_430b"/>
      <w:r>
        <w:rPr>
          <w:rFonts w:ascii="Arial" w:eastAsia="Arial" w:hAnsi="Arial" w:cs="Arial"/>
          <w:b/>
          <w:sz w:val="24"/>
        </w:rPr>
        <w:t>2</w:t>
      </w:r>
      <w:bookmarkEnd w:id="21"/>
      <w:r>
        <w:rPr>
          <w:rFonts w:ascii="Arial" w:eastAsia="Arial" w:hAnsi="Arial" w:cs="Arial"/>
          <w:b/>
          <w:sz w:val="24"/>
        </w:rPr>
        <w:t>.  24-A MRSA §2808-B, sub-§2, ¶D,</w:t>
      </w:r>
      <w:r>
        <w:rPr>
          <w:rFonts w:ascii="Arial" w:eastAsia="Arial" w:hAnsi="Arial" w:cs="Arial"/>
        </w:rPr>
        <w:t xml:space="preserve"> as amended by PL 2019, c. 5, Pt. A, §11, is further amended by amending subparagraph (9) to read:</w:t>
      </w:r>
    </w:p>
    <w:p w:rsidR="00000000" w:rsidP="00BB69D4">
      <w:pPr>
        <w:ind w:left="1080"/>
        <w:rPr>
          <w:rFonts w:ascii="Arial" w:eastAsia="Arial" w:hAnsi="Arial" w:cs="Arial"/>
        </w:rPr>
      </w:pPr>
      <w:bookmarkStart w:id="22" w:name="_STATUTE_SP__b1188991_30e7_47b2_8173_900"/>
      <w:bookmarkEnd w:id="19"/>
      <w:r>
        <w:rPr>
          <w:rFonts w:ascii="Arial" w:eastAsia="Arial" w:hAnsi="Arial" w:cs="Arial"/>
        </w:rPr>
        <w:t>(</w:t>
      </w:r>
      <w:bookmarkStart w:id="23" w:name="_STATUTE_NUMBER__1c0377c2_4942_424b_afd4"/>
      <w:r>
        <w:rPr>
          <w:rFonts w:ascii="Arial" w:eastAsia="Arial" w:hAnsi="Arial" w:cs="Arial"/>
        </w:rPr>
        <w:t>9</w:t>
      </w:r>
      <w:bookmarkEnd w:id="23"/>
      <w:r>
        <w:rPr>
          <w:rFonts w:ascii="Arial" w:eastAsia="Arial" w:hAnsi="Arial" w:cs="Arial"/>
        </w:rPr>
        <w:t xml:space="preserve">)  </w:t>
      </w:r>
      <w:bookmarkStart w:id="24" w:name="_STATUTE_CONTENT__17f94368_7ed0_4d03_911"/>
      <w:r>
        <w:rPr>
          <w:rFonts w:ascii="Arial" w:eastAsia="Arial" w:hAnsi="Arial" w:cs="Arial"/>
        </w:rPr>
        <w:t xml:space="preserve">For all policies, contracts or certificates that are executed, delivered, issued for delivery, continued or renewed in this State </w:t>
      </w:r>
      <w:bookmarkStart w:id="25" w:name="_REV__f3ca07fd_f7ea_4587_9a89_f2ba2d869b"/>
      <w:bookmarkStart w:id="26" w:name="_PROCESSED_CHANGE__f90d7a47_56d7_413e_ba"/>
      <w:r>
        <w:rPr>
          <w:rFonts w:ascii="Arial" w:eastAsia="Arial" w:hAnsi="Arial" w:cs="Arial"/>
          <w:strike/>
        </w:rPr>
        <w:t>on or after</w:t>
      </w:r>
      <w:r>
        <w:rPr>
          <w:rFonts w:ascii="Arial" w:eastAsia="Arial" w:hAnsi="Arial" w:cs="Arial"/>
        </w:rPr>
        <w:t xml:space="preserve"> </w:t>
      </w:r>
      <w:bookmarkStart w:id="27" w:name="_REV__1e43c4b8_def8_4fd8_8061_fe06a9a2a0"/>
      <w:bookmarkStart w:id="28" w:name="_PROCESSED_CHANGE__8646314d_dd11_4032_90"/>
      <w:bookmarkEnd w:id="25"/>
      <w:bookmarkEnd w:id="26"/>
      <w:r>
        <w:rPr>
          <w:rFonts w:ascii="Arial" w:eastAsia="Arial" w:hAnsi="Arial" w:cs="Arial"/>
          <w:u w:val="single"/>
        </w:rPr>
        <w:t>between</w:t>
      </w:r>
      <w:r>
        <w:rPr>
          <w:rFonts w:ascii="Arial" w:eastAsia="Arial" w:hAnsi="Arial" w:cs="Arial"/>
        </w:rPr>
        <w:t xml:space="preserve"> </w:t>
      </w:r>
      <w:bookmarkEnd w:id="27"/>
      <w:bookmarkEnd w:id="28"/>
      <w:r>
        <w:rPr>
          <w:rFonts w:ascii="Arial" w:eastAsia="Arial" w:hAnsi="Arial" w:cs="Arial"/>
        </w:rPr>
        <w:t>October 1, 2011</w:t>
      </w:r>
      <w:bookmarkStart w:id="29" w:name="_REV__4b098f67_dbc9_4b61_be33_2a1323207b"/>
      <w:bookmarkStart w:id="30" w:name="_PROCESSED_CHANGE__b4f484ce_147d_44de_b2"/>
      <w:r>
        <w:rPr>
          <w:rFonts w:ascii="Arial" w:eastAsia="Arial" w:hAnsi="Arial" w:cs="Arial"/>
        </w:rPr>
        <w:t xml:space="preserve"> </w:t>
      </w:r>
      <w:r>
        <w:rPr>
          <w:rFonts w:ascii="Arial" w:eastAsia="Arial" w:hAnsi="Arial" w:cs="Arial"/>
          <w:u w:val="single"/>
        </w:rPr>
        <w:t>and December 31, 2022</w:t>
      </w:r>
      <w:bookmarkEnd w:id="29"/>
      <w:bookmarkEnd w:id="30"/>
      <w:r>
        <w:rPr>
          <w:rFonts w:ascii="Arial" w:eastAsia="Arial" w:hAnsi="Arial" w:cs="Arial"/>
        </w:rPr>
        <w:t>, the maximum rate differential due to tobacco use filed by the carrier as determined by ratio is 1.5 to 1, except that the carrier may not apply a rate differential pursuant to this subparagraph when the covered individual is participating in an evidence-based tobacco cessation strategy approved by the United States Department of Health and Human Services, Food and Drug Administration.</w:t>
      </w:r>
      <w:bookmarkStart w:id="31" w:name="_REV__84c660c7_80ba_4d79_8507_0bdaac015d"/>
      <w:bookmarkStart w:id="32" w:name="_PROCESSED_CHANGE__b4bdaf97_c383_4d4f_9f"/>
      <w:r>
        <w:rPr>
          <w:rFonts w:ascii="Arial" w:eastAsia="Arial" w:hAnsi="Arial" w:cs="Arial"/>
        </w:rPr>
        <w:t xml:space="preserve">  </w:t>
      </w:r>
      <w:r>
        <w:rPr>
          <w:rFonts w:ascii="Arial" w:eastAsia="Arial" w:hAnsi="Arial" w:cs="Arial"/>
          <w:u w:val="single"/>
        </w:rPr>
        <w:t>For all policies, contracts or certificates that are executed, delivered, issued for delivery, continued or renewed in this State between January 1, 2023 and December 31, 2023, the maximum rate differential due to tobacco use filed by the carrier as determined by ratio is 1.25 to 1, except that the carrier may not apply a rate differential pursuant to this subparagraph when the covered individual is participating in an evidence-based tobacco cessation strategy approved by the United States Department of Health and Human Services, Food and Drug Administration. For all policies, contracts or certificates that are executed, delivered, issued for delivery, continued or renewed in this State on or after January 1, 2024, a carrier may not vary the premium rate due to tobacco use.</w:t>
      </w:r>
      <w:bookmarkEnd w:id="24"/>
      <w:bookmarkEnd w:id="31"/>
      <w:bookmarkEnd w:id="32"/>
      <w:bookmarkEnd w:id="2"/>
      <w:bookmarkEnd w:id="5"/>
      <w:bookmarkEnd w:id="6"/>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LR0167,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Phase Out Insurance Rating Based on Smoking History</w:t>
    </w:r>
  </w:p>
  <w:p>
    <w:pPr>
      <w:suppressLineNumbers/>
      <w:spacing w:before="0" w:after="0"/>
      <w:jc w:val="center"/>
      <w:rPr>
        <w:rFonts w:ascii="Arial" w:eastAsia="Arial" w:hAnsi="Arial" w:cs="Arial"/>
      </w:rPr>
    </w:pPr>
    <w:r>
      <w:rPr>
        <w:rFonts w:ascii="Arial" w:eastAsia="Arial" w:hAnsi="Arial" w:cs="Arial"/>
        <w:sz w:val="22"/>
      </w:rPr>
      <w:t>L.D. 1150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69D4"/>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