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Service Contracts Act To Include the Replacement of Motor Vehicle Keys and Key Fobs and Damage to a Motor Vehicle That Results in Lease-end or Other Charges for Excessive Wear and Use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819 - L.D. 1141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Service Contracts Act To Include the Replacement of Motor Vehicle Keys and Key Fobs and Damage to a Motor Vehicle That Results in Lease-end or Other Charges for Excessive Wear and Use</w:t>
      </w:r>
    </w:p>
    <w:p w:rsidR="006C68CB" w:rsidP="006C68CB">
      <w:pPr>
        <w:ind w:left="360"/>
        <w:rPr>
          <w:rFonts w:ascii="Arial" w:eastAsia="Arial" w:hAnsi="Arial" w:cs="Arial"/>
        </w:rPr>
      </w:pPr>
      <w:bookmarkStart w:id="0" w:name="_ENACTING_CLAUSE__80880a66_ad61_41e2_9cc"/>
      <w:bookmarkStart w:id="1" w:name="_PAR__1_4b42dd8f_9d20_4cd0_b4ad_e561b489"/>
      <w:bookmarkStart w:id="2" w:name="_DOC_BODY_CONTAINER__8c52c56a_d749_444d_"/>
      <w:r>
        <w:rPr>
          <w:rFonts w:ascii="Arial" w:eastAsia="Arial" w:hAnsi="Arial" w:cs="Arial"/>
          <w:b/>
        </w:rPr>
        <w:t>Be it enacted by the People of the State of Maine as follows:</w:t>
      </w:r>
    </w:p>
    <w:p w:rsidR="006C68CB" w:rsidP="006C68CB">
      <w:pPr>
        <w:ind w:left="360" w:firstLine="360"/>
        <w:rPr>
          <w:rFonts w:ascii="Arial" w:eastAsia="Arial" w:hAnsi="Arial" w:cs="Arial"/>
        </w:rPr>
      </w:pPr>
      <w:bookmarkStart w:id="3" w:name="_BILL_SECTION_HEADER__90587590_54b8_496b"/>
      <w:bookmarkStart w:id="4" w:name="_BILL_SECTION__2a7ba2fd_3167_40a9_9865_5"/>
      <w:bookmarkStart w:id="5" w:name="_INSTRUCTION__a8253326_efb7_4abb_985c_5d"/>
      <w:bookmarkStart w:id="6" w:name="_DOC_BODY_CONTENT__efb89961_f28f_4a60_8e"/>
      <w:bookmarkEnd w:id="0"/>
      <w:bookmarkEnd w:id="1"/>
      <w:r>
        <w:rPr>
          <w:rFonts w:ascii="Arial" w:eastAsia="Arial" w:hAnsi="Arial" w:cs="Arial"/>
          <w:b/>
          <w:sz w:val="24"/>
        </w:rPr>
        <w:t xml:space="preserve">Sec. </w:t>
      </w:r>
      <w:bookmarkStart w:id="7" w:name="_BILL_SECTION_NUMBER__96cae02f_e76c_490e"/>
      <w:r>
        <w:rPr>
          <w:rFonts w:ascii="Arial" w:eastAsia="Arial" w:hAnsi="Arial" w:cs="Arial"/>
          <w:b/>
          <w:sz w:val="24"/>
        </w:rPr>
        <w:t>1</w:t>
      </w:r>
      <w:bookmarkEnd w:id="7"/>
      <w:r>
        <w:rPr>
          <w:rFonts w:ascii="Arial" w:eastAsia="Arial" w:hAnsi="Arial" w:cs="Arial"/>
          <w:b/>
          <w:sz w:val="24"/>
        </w:rPr>
        <w:t>.  24-A MRSA §7102, sub-§11, ¶D,</w:t>
      </w:r>
      <w:r>
        <w:rPr>
          <w:rFonts w:ascii="Arial" w:eastAsia="Arial" w:hAnsi="Arial" w:cs="Arial"/>
        </w:rPr>
        <w:t xml:space="preserve"> as enacted by PL 2011, c. 345, §4 and affected by §7, is amended to read:</w:t>
      </w:r>
    </w:p>
    <w:p w:rsidR="006C68CB" w:rsidP="006C68CB">
      <w:pPr>
        <w:ind w:left="720"/>
        <w:rPr>
          <w:rFonts w:ascii="Arial" w:eastAsia="Arial" w:hAnsi="Arial" w:cs="Arial"/>
        </w:rPr>
      </w:pPr>
      <w:bookmarkStart w:id="8" w:name="_STATUTE_NUMBER__abb54b6f_5c3d_4c7a_b145"/>
      <w:bookmarkStart w:id="9" w:name="_STATUTE_P__313880b4_e075_4691_8b37_f051"/>
      <w:bookmarkEnd w:id="3"/>
      <w:r>
        <w:rPr>
          <w:rFonts w:ascii="Arial" w:eastAsia="Arial" w:hAnsi="Arial" w:cs="Arial"/>
        </w:rPr>
        <w:t>D</w:t>
      </w:r>
      <w:bookmarkEnd w:id="8"/>
      <w:r>
        <w:rPr>
          <w:rFonts w:ascii="Arial" w:eastAsia="Arial" w:hAnsi="Arial" w:cs="Arial"/>
        </w:rPr>
        <w:t xml:space="preserve">.  </w:t>
      </w:r>
      <w:bookmarkStart w:id="10" w:name="_STATUTE_CONTENT__266d55ca_0d22_496f_bc5"/>
      <w:r>
        <w:rPr>
          <w:rFonts w:ascii="Arial" w:eastAsia="Arial" w:hAnsi="Arial" w:cs="Arial"/>
        </w:rPr>
        <w:t>The repair of small motor vehicle windshield chips or cracks but not the replacement of the entire windshield;</w:t>
      </w:r>
      <w:bookmarkStart w:id="11" w:name="_REV__da6f346d_5b31_405e_ba31_d48c33c3e0"/>
      <w:bookmarkStart w:id="12" w:name="_PROCESSED_CHANGE__1d661fff_d73a_4b21_88"/>
      <w:r>
        <w:rPr>
          <w:rFonts w:ascii="Arial" w:eastAsia="Arial" w:hAnsi="Arial" w:cs="Arial"/>
        </w:rPr>
        <w:t xml:space="preserve"> </w:t>
      </w:r>
      <w:r>
        <w:rPr>
          <w:rFonts w:ascii="Arial" w:eastAsia="Arial" w:hAnsi="Arial" w:cs="Arial"/>
          <w:strike/>
        </w:rPr>
        <w:t>or</w:t>
      </w:r>
      <w:bookmarkEnd w:id="10"/>
      <w:bookmarkEnd w:id="11"/>
      <w:bookmarkEnd w:id="12"/>
    </w:p>
    <w:p w:rsidR="006C68CB" w:rsidP="006C68CB">
      <w:pPr>
        <w:ind w:left="360" w:firstLine="360"/>
        <w:rPr>
          <w:rFonts w:ascii="Arial" w:eastAsia="Arial" w:hAnsi="Arial" w:cs="Arial"/>
        </w:rPr>
      </w:pPr>
      <w:bookmarkStart w:id="13" w:name="_BILL_SECTION_HEADER__c5acb057_6920_4efc"/>
      <w:bookmarkStart w:id="14" w:name="_BILL_SECTION__979051f8_0a26_48d8_b693_d"/>
      <w:bookmarkEnd w:id="4"/>
      <w:bookmarkEnd w:id="9"/>
      <w:r>
        <w:rPr>
          <w:rFonts w:ascii="Arial" w:eastAsia="Arial" w:hAnsi="Arial" w:cs="Arial"/>
          <w:b/>
          <w:sz w:val="24"/>
        </w:rPr>
        <w:t xml:space="preserve">Sec. </w:t>
      </w:r>
      <w:bookmarkStart w:id="15" w:name="_BILL_SECTION_NUMBER__c13ab1c9_4f69_450e"/>
      <w:r>
        <w:rPr>
          <w:rFonts w:ascii="Arial" w:eastAsia="Arial" w:hAnsi="Arial" w:cs="Arial"/>
          <w:b/>
          <w:sz w:val="24"/>
        </w:rPr>
        <w:t>2</w:t>
      </w:r>
      <w:bookmarkEnd w:id="15"/>
      <w:r>
        <w:rPr>
          <w:rFonts w:ascii="Arial" w:eastAsia="Arial" w:hAnsi="Arial" w:cs="Arial"/>
          <w:b/>
          <w:sz w:val="24"/>
        </w:rPr>
        <w:t>.  24-A MRSA §7102, sub-§11, ¶E,</w:t>
      </w:r>
      <w:r>
        <w:rPr>
          <w:rFonts w:ascii="Arial" w:eastAsia="Arial" w:hAnsi="Arial" w:cs="Arial"/>
        </w:rPr>
        <w:t xml:space="preserve"> as enacted by PL 2011, c. 345, §4 and affected by §7, is amended to read:</w:t>
      </w:r>
    </w:p>
    <w:p w:rsidR="006C68CB" w:rsidP="006C68CB">
      <w:pPr>
        <w:ind w:left="720"/>
        <w:rPr>
          <w:rFonts w:ascii="Arial" w:eastAsia="Arial" w:hAnsi="Arial" w:cs="Arial"/>
        </w:rPr>
      </w:pPr>
      <w:bookmarkStart w:id="16" w:name="_STATUTE_NUMBER__45572123_e73a_48a4_8c26"/>
      <w:bookmarkStart w:id="17" w:name="_STATUTE_P__fecb5191_ba9f_47b4_ab52_a6a2"/>
      <w:bookmarkEnd w:id="13"/>
      <w:r>
        <w:rPr>
          <w:rFonts w:ascii="Arial" w:eastAsia="Arial" w:hAnsi="Arial" w:cs="Arial"/>
        </w:rPr>
        <w:t>E</w:t>
      </w:r>
      <w:bookmarkEnd w:id="16"/>
      <w:r>
        <w:rPr>
          <w:rFonts w:ascii="Arial" w:eastAsia="Arial" w:hAnsi="Arial" w:cs="Arial"/>
        </w:rPr>
        <w:t xml:space="preserve">.  </w:t>
      </w:r>
      <w:bookmarkStart w:id="18" w:name="_STATUTE_CONTENT__12379188_647c_42d9_9d9"/>
      <w:r>
        <w:rPr>
          <w:rFonts w:ascii="Arial" w:eastAsia="Arial" w:hAnsi="Arial" w:cs="Arial"/>
        </w:rPr>
        <w:t>The repair of damage to the interior components of a motor vehicle caused by wear and tear but that expressly excludes the replacement of any part or component of a motor vehicle's interior</w:t>
      </w:r>
      <w:bookmarkStart w:id="19" w:name="_REV__5ad612f4_235a_463c_afa6_df43d25ad0"/>
      <w:bookmarkStart w:id="20" w:name="_PROCESSED_CHANGE__f0980946_9847_4df9_9b"/>
      <w:r>
        <w:rPr>
          <w:rFonts w:ascii="Arial" w:eastAsia="Arial" w:hAnsi="Arial" w:cs="Arial"/>
          <w:strike/>
        </w:rPr>
        <w:t>.</w:t>
      </w:r>
      <w:bookmarkStart w:id="21" w:name="_REV__51740984_2eef_4d14_8175_7f01450d5b"/>
      <w:bookmarkStart w:id="22" w:name="_PROCESSED_CHANGE__f2567307_ab13_4090_b6"/>
      <w:bookmarkEnd w:id="19"/>
      <w:bookmarkEnd w:id="20"/>
      <w:r>
        <w:rPr>
          <w:rFonts w:ascii="Arial" w:eastAsia="Arial" w:hAnsi="Arial" w:cs="Arial"/>
          <w:u w:val="single"/>
        </w:rPr>
        <w:t>;</w:t>
      </w:r>
      <w:bookmarkEnd w:id="18"/>
      <w:bookmarkEnd w:id="21"/>
      <w:bookmarkEnd w:id="22"/>
    </w:p>
    <w:p w:rsidR="006C68CB" w:rsidP="006C68CB">
      <w:pPr>
        <w:ind w:left="360" w:firstLine="360"/>
        <w:rPr>
          <w:rFonts w:ascii="Arial" w:eastAsia="Arial" w:hAnsi="Arial" w:cs="Arial"/>
        </w:rPr>
      </w:pPr>
      <w:bookmarkStart w:id="23" w:name="_BILL_SECTION_HEADER__731a1233_be01_4f26"/>
      <w:bookmarkStart w:id="24" w:name="_BILL_SECTION__d2d8f1b0_e4e5_4c71_b917_3"/>
      <w:bookmarkEnd w:id="14"/>
      <w:bookmarkEnd w:id="17"/>
      <w:r>
        <w:rPr>
          <w:rFonts w:ascii="Arial" w:eastAsia="Arial" w:hAnsi="Arial" w:cs="Arial"/>
          <w:b/>
          <w:sz w:val="24"/>
        </w:rPr>
        <w:t xml:space="preserve">Sec. </w:t>
      </w:r>
      <w:bookmarkStart w:id="25" w:name="_BILL_SECTION_NUMBER__6e6ee240_21ed_4690"/>
      <w:r>
        <w:rPr>
          <w:rFonts w:ascii="Arial" w:eastAsia="Arial" w:hAnsi="Arial" w:cs="Arial"/>
          <w:b/>
          <w:sz w:val="24"/>
        </w:rPr>
        <w:t>3</w:t>
      </w:r>
      <w:bookmarkEnd w:id="25"/>
      <w:r>
        <w:rPr>
          <w:rFonts w:ascii="Arial" w:eastAsia="Arial" w:hAnsi="Arial" w:cs="Arial"/>
          <w:b/>
          <w:sz w:val="24"/>
        </w:rPr>
        <w:t>.  24-A MRSA §7102, sub-§11, ¶F</w:t>
      </w:r>
      <w:r>
        <w:rPr>
          <w:rFonts w:ascii="Arial" w:eastAsia="Arial" w:hAnsi="Arial" w:cs="Arial"/>
        </w:rPr>
        <w:t xml:space="preserve"> is enacted to read:</w:t>
      </w:r>
    </w:p>
    <w:p w:rsidR="006C68CB" w:rsidP="006C68CB">
      <w:pPr>
        <w:ind w:left="720"/>
        <w:rPr>
          <w:rFonts w:ascii="Arial" w:eastAsia="Arial" w:hAnsi="Arial" w:cs="Arial"/>
        </w:rPr>
      </w:pPr>
      <w:bookmarkStart w:id="26" w:name="_STATUTE_NUMBER__d907518e_49cc_4788_bc06"/>
      <w:bookmarkStart w:id="27" w:name="_STATUTE_P__ac45f0e9_2a85_49ce_b00c_4fde"/>
      <w:bookmarkStart w:id="28" w:name="_REV__229f6b80_4d3e_4594_849a_e22b71a852"/>
      <w:bookmarkStart w:id="29" w:name="_PROCESSED_CHANGE__75806323_9e36_4d61_9d"/>
      <w:bookmarkEnd w:id="23"/>
      <w:r>
        <w:rPr>
          <w:rFonts w:ascii="Arial" w:eastAsia="Arial" w:hAnsi="Arial" w:cs="Arial"/>
          <w:u w:val="single"/>
        </w:rPr>
        <w:t>F</w:t>
      </w:r>
      <w:bookmarkEnd w:id="26"/>
      <w:r>
        <w:rPr>
          <w:rFonts w:ascii="Arial" w:eastAsia="Arial" w:hAnsi="Arial" w:cs="Arial"/>
          <w:u w:val="single"/>
        </w:rPr>
        <w:t xml:space="preserve">.  </w:t>
      </w:r>
      <w:bookmarkStart w:id="30" w:name="_STATUTE_CONTENT__965e10a8_cf2b_45ca_814"/>
      <w:r>
        <w:rPr>
          <w:rFonts w:ascii="Arial" w:eastAsia="Arial" w:hAnsi="Arial" w:cs="Arial"/>
          <w:u w:val="single"/>
        </w:rPr>
        <w:t>The replacement of a motor vehicle key or key fob in the event the key or key fob becomes inoperable</w:t>
      </w:r>
      <w:r>
        <w:rPr>
          <w:rFonts w:ascii="Arial" w:eastAsia="Arial" w:hAnsi="Arial" w:cs="Arial"/>
          <w:u w:val="single"/>
        </w:rPr>
        <w:t xml:space="preserve"> or is</w:t>
      </w:r>
      <w:r>
        <w:rPr>
          <w:rFonts w:ascii="Arial" w:eastAsia="Arial" w:hAnsi="Arial" w:cs="Arial"/>
          <w:u w:val="single"/>
        </w:rPr>
        <w:t xml:space="preserve"> lost or stolen; or</w:t>
      </w:r>
    </w:p>
    <w:p w:rsidR="006C68CB" w:rsidP="006C68CB">
      <w:pPr>
        <w:ind w:left="360" w:firstLine="360"/>
        <w:rPr>
          <w:rFonts w:ascii="Arial" w:eastAsia="Arial" w:hAnsi="Arial" w:cs="Arial"/>
        </w:rPr>
      </w:pPr>
      <w:bookmarkStart w:id="31" w:name="_BILL_SECTION_HEADER__6bae8e2b_9a8c_4a85"/>
      <w:bookmarkStart w:id="32" w:name="_BILL_SECTION__981202c9_8cbf_4058_b670_3"/>
      <w:bookmarkEnd w:id="24"/>
      <w:bookmarkEnd w:id="27"/>
      <w:bookmarkEnd w:id="28"/>
      <w:bookmarkEnd w:id="29"/>
      <w:bookmarkEnd w:id="30"/>
      <w:r>
        <w:rPr>
          <w:rFonts w:ascii="Arial" w:eastAsia="Arial" w:hAnsi="Arial" w:cs="Arial"/>
          <w:b/>
          <w:sz w:val="24"/>
        </w:rPr>
        <w:t xml:space="preserve">Sec. </w:t>
      </w:r>
      <w:bookmarkStart w:id="33" w:name="_BILL_SECTION_NUMBER__a50349c0_a9ef_4103"/>
      <w:r>
        <w:rPr>
          <w:rFonts w:ascii="Arial" w:eastAsia="Arial" w:hAnsi="Arial" w:cs="Arial"/>
          <w:b/>
          <w:sz w:val="24"/>
        </w:rPr>
        <w:t>4</w:t>
      </w:r>
      <w:bookmarkEnd w:id="33"/>
      <w:r>
        <w:rPr>
          <w:rFonts w:ascii="Arial" w:eastAsia="Arial" w:hAnsi="Arial" w:cs="Arial"/>
          <w:b/>
          <w:sz w:val="24"/>
        </w:rPr>
        <w:t>.  24-A MRSA §7102, sub-§11, ¶G</w:t>
      </w:r>
      <w:r>
        <w:rPr>
          <w:rFonts w:ascii="Arial" w:eastAsia="Arial" w:hAnsi="Arial" w:cs="Arial"/>
        </w:rPr>
        <w:t xml:space="preserve"> is enacted to read:</w:t>
      </w:r>
    </w:p>
    <w:p w:rsidR="00000000" w:rsidP="006C68CB">
      <w:pPr>
        <w:ind w:left="720"/>
        <w:rPr>
          <w:rFonts w:ascii="Arial" w:eastAsia="Arial" w:hAnsi="Arial" w:cs="Arial"/>
        </w:rPr>
      </w:pPr>
      <w:bookmarkStart w:id="34" w:name="_STATUTE_NUMBER__6f5d10ca_f784_4f0f_8aad"/>
      <w:bookmarkStart w:id="35" w:name="_PROCESSED_CHANGE__4e2f955e_ce33_4d86_b4"/>
      <w:bookmarkStart w:id="36" w:name="_REV__0804a4c3_39b9_44a2_840a_8add87361b"/>
      <w:bookmarkStart w:id="37" w:name="_STATUTE_P__f13755ab_872f_4453_81fc_e09b"/>
      <w:bookmarkEnd w:id="31"/>
      <w:r>
        <w:rPr>
          <w:rFonts w:ascii="Arial" w:eastAsia="Arial" w:hAnsi="Arial" w:cs="Arial"/>
          <w:u w:val="single"/>
        </w:rPr>
        <w:t>G</w:t>
      </w:r>
      <w:bookmarkEnd w:id="34"/>
      <w:r>
        <w:rPr>
          <w:rFonts w:ascii="Arial" w:eastAsia="Arial" w:hAnsi="Arial" w:cs="Arial"/>
          <w:u w:val="single"/>
        </w:rPr>
        <w:t xml:space="preserve">.  </w:t>
      </w:r>
      <w:bookmarkStart w:id="38" w:name="_STATUTE_CONTENT__784f7895_29c0_4a87_af7"/>
      <w:r>
        <w:rPr>
          <w:rFonts w:ascii="Arial" w:eastAsia="Arial" w:hAnsi="Arial" w:cs="Arial"/>
          <w:u w:val="single"/>
        </w:rPr>
        <w:t xml:space="preserve">In conjunction with a motor vehicle lease, the repair, replacement or maintenance of the motor vehicle, or indemnification for repair, replacement or maintenance, due to excess wear and use; due to damage for items such as tires, paint cracks or chips, interior stains, rips or scratches, exterior dents or scratches, windshield cracks or chips or missing interior or exterior parts; or due to excess mileage that results in a lease-end charge or any other charge for damage that is determined to be excess wear and use by a lessor under a motor vehicle lease, as long as any such payment does not exceed the purchase price of the </w:t>
      </w:r>
      <w:r>
        <w:rPr>
          <w:rFonts w:ascii="Arial" w:eastAsia="Arial" w:hAnsi="Arial" w:cs="Arial"/>
          <w:u w:val="single"/>
        </w:rPr>
        <w:t xml:space="preserve">motor </w:t>
      </w:r>
      <w:r>
        <w:rPr>
          <w:rFonts w:ascii="Arial" w:eastAsia="Arial" w:hAnsi="Arial" w:cs="Arial"/>
          <w:u w:val="single"/>
        </w:rPr>
        <w:t>vehicle.</w:t>
      </w:r>
      <w:bookmarkEnd w:id="2"/>
      <w:bookmarkEnd w:id="5"/>
      <w:bookmarkEnd w:id="6"/>
      <w:bookmarkEnd w:id="32"/>
      <w:bookmarkEnd w:id="35"/>
      <w:bookmarkEnd w:id="36"/>
      <w:bookmarkEnd w:id="37"/>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LR0865,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Service Contracts Act To Include the Replacement of Motor Vehicle Keys and Key Fobs and Damage to a Motor Vehicle That Results in Lease-end or Other Charges for Excessive Wear and Use</w:t>
    </w:r>
  </w:p>
  <w:p>
    <w:pPr>
      <w:suppressLineNumbers/>
      <w:spacing w:before="0" w:after="0"/>
      <w:jc w:val="center"/>
      <w:rPr>
        <w:rFonts w:ascii="Arial" w:eastAsia="Arial" w:hAnsi="Arial" w:cs="Arial"/>
      </w:rPr>
    </w:pPr>
    <w:r>
      <w:rPr>
        <w:rFonts w:ascii="Arial" w:eastAsia="Arial" w:hAnsi="Arial" w:cs="Arial"/>
        <w:sz w:val="22"/>
      </w:rPr>
      <w:t>L.D. 1141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C68CB"/>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