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Sales Tax Exemption for the Purchase of Firearm Safety Devices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818 - L.D. 1140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Establish a Sales Tax Exemption for the Purchase of Firearm Safety Devices</w:t>
      </w:r>
    </w:p>
    <w:p w:rsidR="002E2080" w:rsidP="002E2080">
      <w:pPr>
        <w:ind w:left="360"/>
        <w:rPr>
          <w:rFonts w:ascii="Arial" w:eastAsia="Arial" w:hAnsi="Arial" w:cs="Arial"/>
        </w:rPr>
      </w:pPr>
      <w:bookmarkStart w:id="0" w:name="_ENACTING_CLAUSE__4b7ef0cd_b180_4e5a_915"/>
      <w:bookmarkStart w:id="1" w:name="_PAR__1_d45b0b48_4c71_482d_916d_0138b791"/>
      <w:bookmarkStart w:id="2" w:name="_DOC_BODY_CONTAINER__71d26160_10da_4e50_"/>
      <w:r>
        <w:rPr>
          <w:rFonts w:ascii="Arial" w:eastAsia="Arial" w:hAnsi="Arial" w:cs="Arial"/>
          <w:b/>
        </w:rPr>
        <w:t>Be it enacted by the People of the State of Maine as follows:</w:t>
      </w:r>
    </w:p>
    <w:p w:rsidR="002E2080" w:rsidP="002E2080">
      <w:pPr>
        <w:ind w:left="360" w:firstLine="360"/>
        <w:rPr>
          <w:rFonts w:ascii="Arial" w:eastAsia="Arial" w:hAnsi="Arial" w:cs="Arial"/>
        </w:rPr>
      </w:pPr>
      <w:bookmarkStart w:id="3" w:name="_BILL_SECTION_HEADER__c0dd9d51_4a6d_4690"/>
      <w:bookmarkStart w:id="4" w:name="_PAR__2_fa6b5920_803a_451f_8f04_8ab230d2"/>
      <w:bookmarkStart w:id="5" w:name="_BILL_SECTION__1bb35c37_b6d7_4d51_9f27_b"/>
      <w:bookmarkStart w:id="6" w:name="_DOC_BODY_CONTENT__89ed8e46_eaf8_47d3_a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bb65f1a_05fe_460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§1760, sub-§107</w:t>
      </w:r>
      <w:r>
        <w:rPr>
          <w:rFonts w:ascii="Arial" w:eastAsia="Arial" w:hAnsi="Arial" w:cs="Arial"/>
        </w:rPr>
        <w:t xml:space="preserve"> is enacted to read:</w:t>
      </w:r>
    </w:p>
    <w:p w:rsidR="002E2080" w:rsidP="002E2080">
      <w:pPr>
        <w:ind w:left="360" w:firstLine="360"/>
        <w:rPr>
          <w:rFonts w:ascii="Arial" w:eastAsia="Arial" w:hAnsi="Arial" w:cs="Arial"/>
        </w:rPr>
      </w:pPr>
      <w:bookmarkStart w:id="8" w:name="_STATUTE_NUMBER__45b2d901_f5f3_4e4d_b1ba"/>
      <w:bookmarkStart w:id="9" w:name="_PAR__3_775e6ddd_2a57_4abe_ab75_d5868e06"/>
      <w:bookmarkStart w:id="10" w:name="_STATUTE_SS__3743a2e1_ae27_4582_8d18_5ca"/>
      <w:bookmarkEnd w:id="3"/>
      <w:bookmarkEnd w:id="4"/>
      <w:r>
        <w:rPr>
          <w:rFonts w:ascii="Arial" w:eastAsia="Arial" w:hAnsi="Arial" w:cs="Arial"/>
          <w:b/>
          <w:u w:val="single"/>
        </w:rPr>
        <w:t>107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17a31904_aebc_473a_b5"/>
      <w:r>
        <w:rPr>
          <w:rFonts w:ascii="Arial" w:eastAsia="Arial" w:hAnsi="Arial" w:cs="Arial"/>
          <w:b/>
          <w:u w:val="single"/>
        </w:rPr>
        <w:t xml:space="preserve">Firearm safety devices. </w:t>
      </w:r>
      <w:r>
        <w:rPr>
          <w:rFonts w:ascii="Arial" w:eastAsia="Arial" w:hAnsi="Arial" w:cs="Arial"/>
          <w:u w:val="single"/>
        </w:rPr>
        <w:t xml:space="preserve"> </w:t>
      </w:r>
      <w:bookmarkStart w:id="12" w:name="_STATUTE_CONTENT__669b23e8_9783_4cca_b1e"/>
      <w:bookmarkEnd w:id="11"/>
      <w:r>
        <w:rPr>
          <w:rFonts w:ascii="Arial" w:eastAsia="Arial" w:hAnsi="Arial" w:cs="Arial"/>
          <w:u w:val="single"/>
        </w:rPr>
        <w:t>Beginning January 1, 2022, s</w:t>
      </w:r>
      <w:r>
        <w:rPr>
          <w:rFonts w:ascii="Arial" w:eastAsia="Arial" w:hAnsi="Arial" w:cs="Arial"/>
          <w:u w:val="single"/>
        </w:rPr>
        <w:t>ales of firearm safety devices.  For purposes of this subsection, "firearm safety device" means, if specifically designed for securing firearms:</w:t>
      </w:r>
    </w:p>
    <w:p w:rsidR="002E2080" w:rsidP="002E2080">
      <w:pPr>
        <w:ind w:left="720"/>
        <w:rPr>
          <w:rFonts w:ascii="Arial" w:eastAsia="Arial" w:hAnsi="Arial" w:cs="Arial"/>
        </w:rPr>
      </w:pPr>
      <w:bookmarkStart w:id="13" w:name="_STATUTE_NUMBER__924afdcf_fdc5_498f_9076"/>
      <w:bookmarkStart w:id="14" w:name="_STATUTE_P__2f21db4e_e71e_4c4f_b606_a944"/>
      <w:bookmarkStart w:id="15" w:name="_PAR__4_517bc1f2_5eb1_4dc6_8614_45385fc8"/>
      <w:bookmarkEnd w:id="9"/>
      <w:bookmarkEnd w:id="12"/>
      <w:r>
        <w:rPr>
          <w:rFonts w:ascii="Arial" w:eastAsia="Arial" w:hAnsi="Arial" w:cs="Arial"/>
          <w:u w:val="single"/>
        </w:rPr>
        <w:t>A</w:t>
      </w:r>
      <w:bookmarkEnd w:id="13"/>
      <w:r>
        <w:rPr>
          <w:rFonts w:ascii="Arial" w:eastAsia="Arial" w:hAnsi="Arial" w:cs="Arial"/>
          <w:u w:val="single"/>
        </w:rPr>
        <w:t xml:space="preserve">.  </w:t>
      </w:r>
      <w:bookmarkStart w:id="16" w:name="_STATUTE_CONTENT__a053f4b0_08e6_4815_b92"/>
      <w:r>
        <w:rPr>
          <w:rFonts w:ascii="Arial" w:eastAsia="Arial" w:hAnsi="Arial" w:cs="Arial"/>
          <w:u w:val="single"/>
        </w:rPr>
        <w:t>A safe or lockbox; or</w:t>
      </w:r>
    </w:p>
    <w:p w:rsidR="00000000" w:rsidP="002E2080">
      <w:pPr>
        <w:ind w:left="720"/>
        <w:rPr>
          <w:rFonts w:ascii="Arial" w:eastAsia="Arial" w:hAnsi="Arial" w:cs="Arial"/>
        </w:rPr>
      </w:pPr>
      <w:bookmarkStart w:id="17" w:name="_STATUTE_NUMBER__8f82350c_dd9d_4c82_87e3"/>
      <w:bookmarkStart w:id="18" w:name="_STATUTE_P__1fc2cc6f_20eb_4e4d_9ec9_e71b"/>
      <w:bookmarkStart w:id="19" w:name="_PAR__5_9058020e_546d_441d_a314_fea7d1c7"/>
      <w:bookmarkEnd w:id="14"/>
      <w:bookmarkEnd w:id="15"/>
      <w:bookmarkEnd w:id="16"/>
      <w:r>
        <w:rPr>
          <w:rFonts w:ascii="Arial" w:eastAsia="Arial" w:hAnsi="Arial" w:cs="Arial"/>
          <w:u w:val="single"/>
        </w:rPr>
        <w:t>B</w:t>
      </w:r>
      <w:bookmarkEnd w:id="17"/>
      <w:r>
        <w:rPr>
          <w:rFonts w:ascii="Arial" w:eastAsia="Arial" w:hAnsi="Arial" w:cs="Arial"/>
          <w:u w:val="single"/>
        </w:rPr>
        <w:t xml:space="preserve">.  </w:t>
      </w:r>
      <w:bookmarkStart w:id="20" w:name="_STATUTE_CONTENT__2f04fff3_801e_4d4b_969"/>
      <w:r>
        <w:rPr>
          <w:rFonts w:ascii="Arial" w:eastAsia="Arial" w:hAnsi="Arial" w:cs="Arial"/>
          <w:u w:val="single"/>
        </w:rPr>
        <w:t>A trigger or barrel lock.</w:t>
      </w:r>
      <w:bookmarkEnd w:id="2"/>
      <w:bookmarkEnd w:id="5"/>
      <w:bookmarkEnd w:id="6"/>
      <w:bookmarkEnd w:id="10"/>
      <w:bookmarkEnd w:id="18"/>
      <w:bookmarkEnd w:id="19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LR0274,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Sales Tax Exemption for the Purchase of Firearm Safety Devices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208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