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Arrearage Management Programs through Unused Kilowatt-hour Credits Derived from Net Energy Billing Arrangements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763 - L.D. 1025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Support Arrearage Management Programs through Unused Kilowatt-hour Credits Derived from Net Energy Billing Arrangements</w:t>
      </w:r>
    </w:p>
    <w:p w:rsidR="00FC4854" w:rsidP="00FC4854">
      <w:pPr>
        <w:ind w:left="360"/>
        <w:rPr>
          <w:rFonts w:ascii="Arial" w:eastAsia="Arial" w:hAnsi="Arial" w:cs="Arial"/>
        </w:rPr>
      </w:pPr>
      <w:bookmarkStart w:id="0" w:name="_ENACTING_CLAUSE__b2944689_f84e_45df_ab4"/>
      <w:bookmarkStart w:id="1" w:name="_PAR__1_a91d1bad_5b66_48b1_8ca7_fbea5e2b"/>
      <w:bookmarkStart w:id="2" w:name="_DOC_BODY_CONTAINER__6e07a856_065d_486b_"/>
      <w:r>
        <w:rPr>
          <w:rFonts w:ascii="Arial" w:eastAsia="Arial" w:hAnsi="Arial" w:cs="Arial"/>
          <w:b/>
        </w:rPr>
        <w:t>Be it enacted by the People of the State of Maine as follows:</w:t>
      </w:r>
    </w:p>
    <w:p w:rsidR="00FC4854" w:rsidP="00FC4854">
      <w:pPr>
        <w:ind w:left="360" w:firstLine="360"/>
        <w:rPr>
          <w:rFonts w:ascii="Arial" w:eastAsia="Arial" w:hAnsi="Arial" w:cs="Arial"/>
        </w:rPr>
      </w:pPr>
      <w:bookmarkStart w:id="3" w:name="_BILL_SECTION_HEADER__e3020679_9757_4c1d"/>
      <w:bookmarkStart w:id="4" w:name="_BILL_SECTION__2cbe5dee_37a9_4a38_98dc_0"/>
      <w:bookmarkStart w:id="5" w:name="_INSTRUCTION__01596dd2_5d01_42e8_a5ed_8e"/>
      <w:bookmarkStart w:id="6" w:name="_DOC_BODY_CONTENT__c9dbe106_4ebe_4d3d_85"/>
      <w:bookmarkEnd w:id="0"/>
      <w:bookmarkEnd w:id="1"/>
      <w:r>
        <w:rPr>
          <w:rFonts w:ascii="Arial" w:eastAsia="Arial" w:hAnsi="Arial" w:cs="Arial"/>
          <w:b/>
          <w:sz w:val="24"/>
        </w:rPr>
        <w:t xml:space="preserve">Sec. </w:t>
      </w:r>
      <w:bookmarkStart w:id="7" w:name="_BILL_SECTION_NUMBER__a443ea9c_31a5_45cf"/>
      <w:r>
        <w:rPr>
          <w:rFonts w:ascii="Arial" w:eastAsia="Arial" w:hAnsi="Arial" w:cs="Arial"/>
          <w:b/>
          <w:sz w:val="24"/>
        </w:rPr>
        <w:t>1</w:t>
      </w:r>
      <w:bookmarkEnd w:id="7"/>
      <w:r>
        <w:rPr>
          <w:rFonts w:ascii="Arial" w:eastAsia="Arial" w:hAnsi="Arial" w:cs="Arial"/>
          <w:b/>
          <w:sz w:val="24"/>
        </w:rPr>
        <w:t>.  35-A MRSA §3209-A, sub-§5</w:t>
      </w:r>
      <w:r>
        <w:rPr>
          <w:rFonts w:ascii="Arial" w:eastAsia="Arial" w:hAnsi="Arial" w:cs="Arial"/>
        </w:rPr>
        <w:t xml:space="preserve"> is enacted to read:</w:t>
      </w:r>
    </w:p>
    <w:p w:rsidR="00FC4854" w:rsidP="00FC4854">
      <w:pPr>
        <w:ind w:left="360" w:firstLine="360"/>
        <w:rPr>
          <w:rFonts w:ascii="Arial" w:eastAsia="Arial" w:hAnsi="Arial" w:cs="Arial"/>
        </w:rPr>
      </w:pPr>
      <w:bookmarkStart w:id="8" w:name="_STATUTE_NUMBER__c3ebde75_9217_4aad_b0c8"/>
      <w:bookmarkStart w:id="9" w:name="_REV__f24fe5fb_7dc5_4b22_8db0_c9d00637ec"/>
      <w:bookmarkStart w:id="10" w:name="_PROCESSED_CHANGE__58acfd6b_b092_4c57_be"/>
      <w:bookmarkStart w:id="11" w:name="_PROCESSED_CHANGE__b353a4f8_0bc2_4a0e_a4"/>
      <w:bookmarkStart w:id="12" w:name="_STATUTE_SS__ea37d720_82d6_4a07_8cb3_a54"/>
      <w:bookmarkEnd w:id="3"/>
      <w:r>
        <w:rPr>
          <w:rFonts w:ascii="Arial" w:eastAsia="Arial" w:hAnsi="Arial" w:cs="Arial"/>
          <w:b/>
          <w:u w:val="single"/>
        </w:rPr>
        <w:t>5</w:t>
      </w:r>
      <w:bookmarkEnd w:id="8"/>
      <w:r>
        <w:rPr>
          <w:rFonts w:ascii="Arial" w:eastAsia="Arial" w:hAnsi="Arial" w:cs="Arial"/>
          <w:b/>
          <w:u w:val="single"/>
        </w:rPr>
        <w:t xml:space="preserve">.  </w:t>
      </w:r>
      <w:bookmarkStart w:id="13" w:name="_STATUTE_HEADNOTE__3b52ff07_1f91_4e2d_94"/>
      <w:r>
        <w:rPr>
          <w:rFonts w:ascii="Arial" w:eastAsia="Arial" w:hAnsi="Arial" w:cs="Arial"/>
          <w:b/>
          <w:u w:val="single"/>
        </w:rPr>
        <w:t xml:space="preserve">Unused kilowatt-hour credits; rules. </w:t>
      </w:r>
      <w:r>
        <w:rPr>
          <w:rFonts w:ascii="Arial" w:eastAsia="Arial" w:hAnsi="Arial" w:cs="Arial"/>
          <w:u w:val="single"/>
        </w:rPr>
        <w:t xml:space="preserve"> </w:t>
      </w:r>
      <w:bookmarkStart w:id="14" w:name="_STATUTE_CONTENT__43874f8a_d7b0_44f9_ab6"/>
      <w:bookmarkEnd w:id="13"/>
      <w:r>
        <w:rPr>
          <w:rFonts w:ascii="Arial" w:eastAsia="Arial" w:hAnsi="Arial" w:cs="Arial"/>
          <w:u w:val="single"/>
        </w:rPr>
        <w:t xml:space="preserve">To the extent rules adopted under this section provide for the </w:t>
      </w:r>
      <w:r>
        <w:rPr>
          <w:rFonts w:ascii="Arial" w:eastAsia="Arial" w:hAnsi="Arial" w:cs="Arial"/>
          <w:u w:val="single"/>
        </w:rPr>
        <w:t xml:space="preserve">periodic </w:t>
      </w:r>
      <w:r>
        <w:rPr>
          <w:rFonts w:ascii="Arial" w:eastAsia="Arial" w:hAnsi="Arial" w:cs="Arial"/>
          <w:u w:val="single"/>
        </w:rPr>
        <w:t xml:space="preserve">expiration of unused kilowatt-hour credits accumulated by a customer </w:t>
      </w:r>
      <w:r>
        <w:rPr>
          <w:rFonts w:ascii="Arial" w:eastAsia="Arial" w:hAnsi="Arial" w:cs="Arial"/>
          <w:u w:val="single"/>
        </w:rPr>
        <w:t xml:space="preserve">participating in </w:t>
      </w:r>
      <w:r>
        <w:rPr>
          <w:rFonts w:ascii="Arial" w:eastAsia="Arial" w:hAnsi="Arial" w:cs="Arial"/>
          <w:u w:val="single"/>
        </w:rPr>
        <w:t xml:space="preserve">a net energy billing arrangement, the commission shall require by rule that, no earlier than April 1, 2022, each transmission and distribution utility </w:t>
      </w:r>
      <w:r>
        <w:rPr>
          <w:rFonts w:ascii="Arial" w:eastAsia="Arial" w:hAnsi="Arial" w:cs="Arial"/>
          <w:u w:val="single"/>
        </w:rPr>
        <w:t xml:space="preserve">with a net energy billing arrangement that has implemented or elected to implement an arrearage management program pursuant to section 3214, subsection 2-A </w:t>
      </w:r>
      <w:r>
        <w:rPr>
          <w:rFonts w:ascii="Arial" w:eastAsia="Arial" w:hAnsi="Arial" w:cs="Arial"/>
          <w:u w:val="single"/>
        </w:rPr>
        <w:t>shall account for and, on or before January 1st of each year, apply all unused kilowatt-hour credits that were accumulated and that expired during the prior calendar year</w:t>
      </w:r>
      <w:r>
        <w:rPr>
          <w:rFonts w:ascii="Arial" w:eastAsia="Arial" w:hAnsi="Arial" w:cs="Arial"/>
          <w:u w:val="single"/>
        </w:rPr>
        <w:t xml:space="preserve"> for the benefit of participants in the utility's </w:t>
      </w:r>
      <w:r>
        <w:rPr>
          <w:rFonts w:ascii="Arial" w:eastAsia="Arial" w:hAnsi="Arial" w:cs="Arial"/>
          <w:u w:val="single"/>
        </w:rPr>
        <w:t>arrearage management program</w:t>
      </w:r>
      <w:r>
        <w:rPr>
          <w:rFonts w:ascii="Arial" w:eastAsia="Arial" w:hAnsi="Arial" w:cs="Arial"/>
          <w:u w:val="single"/>
        </w:rPr>
        <w:t>.  The rules adopted by the commission pursuant to this subsection must:</w:t>
      </w:r>
    </w:p>
    <w:p w:rsidR="00FC4854" w:rsidP="00FC4854">
      <w:pPr>
        <w:ind w:left="720"/>
        <w:rPr>
          <w:rFonts w:ascii="Arial" w:eastAsia="Arial" w:hAnsi="Arial" w:cs="Arial"/>
        </w:rPr>
      </w:pPr>
      <w:bookmarkStart w:id="15" w:name="_STATUTE_NUMBER__aa717863_91eb_4476_a2c2"/>
      <w:bookmarkStart w:id="16" w:name="_STATUTE_P__1deb826a_ebd8_49e5_af6f_4bcf"/>
      <w:bookmarkStart w:id="17" w:name="_REV__d38b0b2e_0ce6_4424_84f4_cf6f744504"/>
      <w:bookmarkEnd w:id="9"/>
      <w:bookmarkEnd w:id="14"/>
      <w:r>
        <w:rPr>
          <w:rFonts w:ascii="Arial" w:eastAsia="Arial" w:hAnsi="Arial" w:cs="Arial"/>
          <w:u w:val="single"/>
        </w:rPr>
        <w:t>A</w:t>
      </w:r>
      <w:bookmarkEnd w:id="15"/>
      <w:r>
        <w:rPr>
          <w:rFonts w:ascii="Arial" w:eastAsia="Arial" w:hAnsi="Arial" w:cs="Arial"/>
          <w:u w:val="single"/>
        </w:rPr>
        <w:t xml:space="preserve">.  </w:t>
      </w:r>
      <w:bookmarkStart w:id="18" w:name="_STATUTE_CONTENT__a3257d46_c483_453d_b17"/>
      <w:r>
        <w:rPr>
          <w:rFonts w:ascii="Arial" w:eastAsia="Arial" w:hAnsi="Arial" w:cs="Arial"/>
          <w:u w:val="single"/>
        </w:rPr>
        <w:t xml:space="preserve">Establish the manner by which </w:t>
      </w:r>
      <w:r>
        <w:rPr>
          <w:rFonts w:ascii="Arial" w:eastAsia="Arial" w:hAnsi="Arial" w:cs="Arial"/>
          <w:u w:val="single"/>
        </w:rPr>
        <w:t>a</w:t>
      </w:r>
      <w:r>
        <w:rPr>
          <w:rFonts w:ascii="Arial" w:eastAsia="Arial" w:hAnsi="Arial" w:cs="Arial"/>
          <w:u w:val="single"/>
        </w:rPr>
        <w:t xml:space="preserve"> transmission and distribution utility must account for unused kilowatt-hour credits that were accumulated by all customers of the utility with net energy billing arrangements during the prior calendar year and that expired during the prior calendar year;</w:t>
      </w:r>
      <w:r>
        <w:rPr>
          <w:rFonts w:ascii="Arial" w:eastAsia="Arial" w:hAnsi="Arial" w:cs="Arial"/>
          <w:u w:val="single"/>
        </w:rPr>
        <w:t xml:space="preserve"> and</w:t>
      </w:r>
    </w:p>
    <w:p w:rsidR="00FC4854" w:rsidP="00FC4854">
      <w:pPr>
        <w:ind w:left="720"/>
        <w:rPr>
          <w:rFonts w:ascii="Arial" w:eastAsia="Arial" w:hAnsi="Arial" w:cs="Arial"/>
        </w:rPr>
      </w:pPr>
      <w:bookmarkStart w:id="19" w:name="_STATUTE_NUMBER__29ee3a1b_3b1c_4dd5_bf2c"/>
      <w:bookmarkStart w:id="20" w:name="_STATUTE_P__ead5c9e8_d365_4df4_b8b8_8712"/>
      <w:bookmarkStart w:id="21" w:name="_REV__402a42f2_6a65_470a_aa3d_ef0f41f896"/>
      <w:bookmarkEnd w:id="16"/>
      <w:bookmarkEnd w:id="17"/>
      <w:bookmarkEnd w:id="18"/>
      <w:r>
        <w:rPr>
          <w:rFonts w:ascii="Arial" w:eastAsia="Arial" w:hAnsi="Arial" w:cs="Arial"/>
          <w:u w:val="single"/>
        </w:rPr>
        <w:t>B</w:t>
      </w:r>
      <w:bookmarkEnd w:id="19"/>
      <w:r>
        <w:rPr>
          <w:rFonts w:ascii="Arial" w:eastAsia="Arial" w:hAnsi="Arial" w:cs="Arial"/>
          <w:u w:val="single"/>
        </w:rPr>
        <w:t xml:space="preserve">.  </w:t>
      </w:r>
      <w:bookmarkStart w:id="22" w:name="_STATUTE_CONTENT__3d5415b4_357e_4b3c_96c"/>
      <w:r>
        <w:rPr>
          <w:rFonts w:ascii="Arial" w:eastAsia="Arial" w:hAnsi="Arial" w:cs="Arial"/>
          <w:u w:val="single"/>
        </w:rPr>
        <w:t xml:space="preserve">Establish the manner by which </w:t>
      </w:r>
      <w:r>
        <w:rPr>
          <w:rFonts w:ascii="Arial" w:eastAsia="Arial" w:hAnsi="Arial" w:cs="Arial"/>
          <w:u w:val="single"/>
        </w:rPr>
        <w:t>a</w:t>
      </w:r>
      <w:r>
        <w:rPr>
          <w:rFonts w:ascii="Arial" w:eastAsia="Arial" w:hAnsi="Arial" w:cs="Arial"/>
          <w:u w:val="single"/>
        </w:rPr>
        <w:t xml:space="preserve"> transmission and distribution utility must apply such unused kilowatt-hour credits for the benefit of participants in the utility’s arrearage management program, which must be designed to result in each such participant receiving as close to an equal amount of those credits except whe</w:t>
      </w:r>
      <w:r>
        <w:rPr>
          <w:rFonts w:ascii="Arial" w:eastAsia="Arial" w:hAnsi="Arial" w:cs="Arial"/>
          <w:u w:val="single"/>
        </w:rPr>
        <w:t>n</w:t>
      </w:r>
      <w:r>
        <w:rPr>
          <w:rFonts w:ascii="Arial" w:eastAsia="Arial" w:hAnsi="Arial" w:cs="Arial"/>
          <w:u w:val="single"/>
        </w:rPr>
        <w:t xml:space="preserve"> the credited amount would exceed the amount of a participant’s arrearage</w:t>
      </w:r>
      <w:r>
        <w:rPr>
          <w:rFonts w:ascii="Arial" w:eastAsia="Arial" w:hAnsi="Arial" w:cs="Arial"/>
          <w:u w:val="single"/>
        </w:rPr>
        <w:t>.</w:t>
      </w:r>
    </w:p>
    <w:p w:rsidR="00000000" w:rsidP="00FC4854">
      <w:pPr>
        <w:ind w:left="360"/>
        <w:rPr>
          <w:rFonts w:ascii="Arial" w:eastAsia="Arial" w:hAnsi="Arial" w:cs="Arial"/>
        </w:rPr>
      </w:pPr>
      <w:bookmarkStart w:id="23" w:name="_REV__05b78d3d_75ac_4122_8a10_c9a25fd0f6"/>
      <w:bookmarkStart w:id="24" w:name="_STATUTE_CONTENT__bc1c44e7_fa69_4153_ba6"/>
      <w:bookmarkStart w:id="25" w:name="_STATUTE_P__a12057b5_e36a_4bf0_93d1_a876"/>
      <w:bookmarkEnd w:id="20"/>
      <w:bookmarkEnd w:id="21"/>
      <w:bookmarkEnd w:id="22"/>
      <w:r>
        <w:rPr>
          <w:rFonts w:ascii="Arial" w:eastAsia="Arial" w:hAnsi="Arial" w:cs="Arial"/>
          <w:u w:val="single"/>
        </w:rPr>
        <w:t>Notwithstanding any provision of this section to the contrary, rules adopted by the commission pursuant to this subsection are routine technical rules as defined in Title 5, chapter 375, subchapter 2-A.</w:t>
      </w:r>
      <w:bookmarkEnd w:id="2"/>
      <w:bookmarkEnd w:id="4"/>
      <w:bookmarkEnd w:id="5"/>
      <w:bookmarkEnd w:id="6"/>
      <w:bookmarkEnd w:id="10"/>
      <w:bookmarkEnd w:id="11"/>
      <w:bookmarkEnd w:id="12"/>
      <w:bookmarkEnd w:id="23"/>
      <w:bookmarkEnd w:id="24"/>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LR1952,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Support Arrearage Management Programs through Unused Kilowatt-hour Credits Derived from Net Energy Billing Arrangements</w:t>
    </w:r>
  </w:p>
  <w:p>
    <w:pPr>
      <w:suppressLineNumbers/>
      <w:spacing w:before="0" w:after="0"/>
      <w:jc w:val="center"/>
      <w:rPr>
        <w:rFonts w:ascii="Arial" w:eastAsia="Arial" w:hAnsi="Arial" w:cs="Arial"/>
      </w:rPr>
    </w:pPr>
    <w:r>
      <w:rPr>
        <w:rFonts w:ascii="Arial" w:eastAsia="Arial" w:hAnsi="Arial" w:cs="Arial"/>
        <w:sz w:val="22"/>
      </w:rPr>
      <w:t>L.D. 1025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C4854"/>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