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That Service of a Temporary Protection Order Be Attempted Within 48 Hours from the Issuance of the Order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670 - L.D. 1034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Require That Service of a Temporary Protection Order Be Attempted Within 48 Hours from the Issuance of the Order</w:t>
      </w:r>
    </w:p>
    <w:p w:rsidR="007B1A3E" w:rsidP="007B1A3E">
      <w:pPr>
        <w:ind w:left="360"/>
        <w:rPr>
          <w:rFonts w:ascii="Arial" w:eastAsia="Arial" w:hAnsi="Arial" w:cs="Arial"/>
        </w:rPr>
      </w:pPr>
      <w:bookmarkStart w:id="0" w:name="_ENACTING_CLAUSE__e403fb54_f099_4424_981"/>
      <w:bookmarkStart w:id="1" w:name="_PAR__1_af0d25bb_6b12_489f_bd26_a588044b"/>
      <w:bookmarkStart w:id="2" w:name="_DOC_BODY_CONTAINER__fdd122b0_c295_4939_"/>
      <w:r>
        <w:rPr>
          <w:rFonts w:ascii="Arial" w:eastAsia="Arial" w:hAnsi="Arial" w:cs="Arial"/>
          <w:b/>
        </w:rPr>
        <w:t>Be it enacted by the People of the State of Maine as follows:</w:t>
      </w:r>
    </w:p>
    <w:p w:rsidR="007B1A3E" w:rsidP="007B1A3E">
      <w:pPr>
        <w:ind w:left="360" w:firstLine="360"/>
        <w:rPr>
          <w:rFonts w:ascii="Arial" w:eastAsia="Arial" w:hAnsi="Arial" w:cs="Arial"/>
        </w:rPr>
      </w:pPr>
      <w:bookmarkStart w:id="3" w:name="_BILL_SECTION_HEADER__b65c2b53_7447_43ad"/>
      <w:bookmarkStart w:id="4" w:name="_BILL_SECTION__a777b07f_8dbd_466a_a81a_0"/>
      <w:bookmarkStart w:id="5" w:name="_INSTRUCTION__94f98a4a_7d36_4039_8405_38"/>
      <w:bookmarkStart w:id="6" w:name="_DOC_BODY_CONTENT__940deea3_080c_4b93_90"/>
      <w:bookmarkEnd w:id="0"/>
      <w:bookmarkEnd w:id="1"/>
      <w:r>
        <w:rPr>
          <w:rFonts w:ascii="Arial" w:eastAsia="Arial" w:hAnsi="Arial" w:cs="Arial"/>
          <w:b/>
          <w:sz w:val="24"/>
        </w:rPr>
        <w:t xml:space="preserve">Sec. </w:t>
      </w:r>
      <w:bookmarkStart w:id="7" w:name="_BILL_SECTION_NUMBER__cdaa8964_e410_4046"/>
      <w:r>
        <w:rPr>
          <w:rFonts w:ascii="Arial" w:eastAsia="Arial" w:hAnsi="Arial" w:cs="Arial"/>
          <w:b/>
          <w:sz w:val="24"/>
        </w:rPr>
        <w:t>1</w:t>
      </w:r>
      <w:bookmarkEnd w:id="7"/>
      <w:r>
        <w:rPr>
          <w:rFonts w:ascii="Arial" w:eastAsia="Arial" w:hAnsi="Arial" w:cs="Arial"/>
          <w:b/>
          <w:sz w:val="24"/>
        </w:rPr>
        <w:t>.  19-A MRSA §4114, sub-§11,</w:t>
      </w:r>
      <w:r>
        <w:rPr>
          <w:rFonts w:ascii="Arial" w:eastAsia="Arial" w:hAnsi="Arial" w:cs="Arial"/>
        </w:rPr>
        <w:t xml:space="preserve"> as enacted by PL 2021, c. 647, Pt. A, §3 and affected by Pt. B, §65, is amended to read:</w:t>
      </w:r>
    </w:p>
    <w:p w:rsidR="00000000" w:rsidP="007B1A3E">
      <w:pPr>
        <w:ind w:left="360" w:firstLine="360"/>
        <w:rPr>
          <w:rFonts w:ascii="Arial" w:eastAsia="Arial" w:hAnsi="Arial" w:cs="Arial"/>
        </w:rPr>
      </w:pPr>
      <w:bookmarkStart w:id="8" w:name="_STATUTE_NUMBER__610c1a41_db74_4ff3_a1ae"/>
      <w:bookmarkStart w:id="9" w:name="_STATUTE_SS__ac915bd2_c012_4cc0_b9d9_19d"/>
      <w:bookmarkEnd w:id="3"/>
      <w:r>
        <w:rPr>
          <w:rFonts w:ascii="Arial" w:eastAsia="Arial" w:hAnsi="Arial" w:cs="Arial"/>
          <w:b/>
        </w:rPr>
        <w:t>11</w:t>
      </w:r>
      <w:bookmarkEnd w:id="8"/>
      <w:r>
        <w:rPr>
          <w:rFonts w:ascii="Arial" w:eastAsia="Arial" w:hAnsi="Arial" w:cs="Arial"/>
          <w:b/>
        </w:rPr>
        <w:t xml:space="preserve">.  </w:t>
      </w:r>
      <w:bookmarkStart w:id="10" w:name="_STATUTE_HEADNOTE__0a8a3348_f916_42ff_90"/>
      <w:r>
        <w:rPr>
          <w:rFonts w:ascii="Arial" w:eastAsia="Arial" w:hAnsi="Arial" w:cs="Arial"/>
          <w:b/>
        </w:rPr>
        <w:t>Service of protection from abuse order.</w:t>
      </w:r>
      <w:bookmarkEnd w:id="10"/>
      <w:r>
        <w:rPr>
          <w:rFonts w:ascii="Arial" w:eastAsia="Arial" w:hAnsi="Arial" w:cs="Arial"/>
          <w:b/>
        </w:rPr>
        <w:t xml:space="preserve"> </w:t>
      </w:r>
      <w:r>
        <w:rPr>
          <w:rFonts w:ascii="Arial" w:eastAsia="Arial" w:hAnsi="Arial" w:cs="Arial"/>
        </w:rPr>
        <w:t xml:space="preserve"> </w:t>
      </w:r>
      <w:bookmarkStart w:id="11" w:name="_STATUTE_CONTENT__8be1e0ac_7d2a_4fe7_8e9"/>
      <w:r>
        <w:rPr>
          <w:rFonts w:ascii="Arial" w:eastAsia="Arial" w:hAnsi="Arial" w:cs="Arial"/>
        </w:rPr>
        <w:t>Every law enforcement agency shall adopt a written policy on the service of protection from abuse orders that directs that every order issued under this chapter is served on the subject of the order as quickly as possible</w:t>
      </w:r>
      <w:bookmarkStart w:id="12" w:name="_REV__b9648e56_79cd_4d90_b0da_ab4a0fa2da"/>
      <w:bookmarkStart w:id="13" w:name="_PROCESSED_CHANGE__5a0f8487_4700_47f5_80"/>
      <w:bookmarkStart w:id="14" w:name="_PROCESSED_CHANGE__bf41473c_b926_463d_91"/>
      <w:bookmarkStart w:id="15" w:name="_PROCESSED_CHANGE__f9deee88_8c90_4368_86"/>
      <w:r>
        <w:rPr>
          <w:rFonts w:ascii="Arial" w:eastAsia="Arial" w:hAnsi="Arial" w:cs="Arial"/>
          <w:u w:val="single"/>
        </w:rPr>
        <w:t>, including that service of every temporary, emergency or interim order issued under this chapter must be attempted with</w:t>
      </w:r>
      <w:r>
        <w:rPr>
          <w:rFonts w:ascii="Arial" w:eastAsia="Arial" w:hAnsi="Arial" w:cs="Arial"/>
          <w:u w:val="single"/>
        </w:rPr>
        <w:t>in</w:t>
      </w:r>
      <w:r>
        <w:rPr>
          <w:rFonts w:ascii="Arial" w:eastAsia="Arial" w:hAnsi="Arial" w:cs="Arial"/>
          <w:u w:val="single"/>
        </w:rPr>
        <w:t xml:space="preserve"> 48</w:t>
      </w:r>
      <w:r>
        <w:rPr>
          <w:rFonts w:ascii="Arial" w:eastAsia="Arial" w:hAnsi="Arial" w:cs="Arial"/>
          <w:u w:val="single"/>
        </w:rPr>
        <w:t xml:space="preserve"> </w:t>
      </w:r>
      <w:r>
        <w:rPr>
          <w:rFonts w:ascii="Arial" w:eastAsia="Arial" w:hAnsi="Arial" w:cs="Arial"/>
          <w:u w:val="single"/>
        </w:rPr>
        <w:t>hour</w:t>
      </w:r>
      <w:r>
        <w:rPr>
          <w:rFonts w:ascii="Arial" w:eastAsia="Arial" w:hAnsi="Arial" w:cs="Arial"/>
          <w:u w:val="single"/>
        </w:rPr>
        <w:t>s</w:t>
      </w:r>
      <w:r>
        <w:rPr>
          <w:rFonts w:ascii="Arial" w:eastAsia="Arial" w:hAnsi="Arial" w:cs="Arial"/>
          <w:u w:val="single"/>
        </w:rPr>
        <w:t xml:space="preserve"> after receiving notice of th</w:t>
      </w:r>
      <w:r>
        <w:rPr>
          <w:rFonts w:ascii="Arial" w:eastAsia="Arial" w:hAnsi="Arial" w:cs="Arial"/>
          <w:u w:val="single"/>
        </w:rPr>
        <w:t>at order from the court</w:t>
      </w:r>
      <w:bookmarkEnd w:id="12"/>
      <w:bookmarkEnd w:id="13"/>
      <w:bookmarkEnd w:id="14"/>
      <w:bookmarkEnd w:id="15"/>
      <w:r>
        <w:rPr>
          <w:rFonts w:ascii="Arial" w:eastAsia="Arial" w:hAnsi="Arial" w:cs="Arial"/>
        </w:rPr>
        <w:t>.  Service of a protection from abuse order that is not in compliance with a policy adopted under this subsection does not affect the validity of the service or the order.</w:t>
      </w:r>
      <w:bookmarkEnd w:id="11"/>
      <w:bookmarkEnd w:id="2"/>
      <w:bookmarkEnd w:id="4"/>
      <w:bookmarkEnd w:id="5"/>
      <w:bookmarkEnd w:id="6"/>
      <w:bookmarkEnd w:id="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LR1805,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Require That Service of a Temporary Protection Order Be Attempted Within 48 Hours from the Issuance of the Order</w:t>
    </w:r>
  </w:p>
  <w:p>
    <w:pPr>
      <w:suppressLineNumbers/>
      <w:spacing w:before="0" w:after="0"/>
      <w:jc w:val="center"/>
      <w:rPr>
        <w:rFonts w:ascii="Arial" w:eastAsia="Arial" w:hAnsi="Arial" w:cs="Arial"/>
      </w:rPr>
    </w:pPr>
    <w:r>
      <w:rPr>
        <w:rFonts w:ascii="Arial" w:eastAsia="Arial" w:hAnsi="Arial" w:cs="Arial"/>
        <w:sz w:val="22"/>
      </w:rPr>
      <w:t>L.D. 1034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B1A3E"/>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