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Consistency Regarding Persons Authorized To Conduct Examinations for Emergency Involuntary Commitment and Post-admission Examinations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636 - L.D. 868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Consistency Regarding Persons Authorized To Conduct Examinations for Emergency Involuntary Commitment and Post-admission Examinations</w:t>
      </w:r>
    </w:p>
    <w:p w:rsidR="0001081C" w:rsidP="0001081C">
      <w:pPr>
        <w:ind w:left="360"/>
        <w:rPr>
          <w:rFonts w:ascii="Arial" w:eastAsia="Arial" w:hAnsi="Arial" w:cs="Arial"/>
        </w:rPr>
      </w:pPr>
      <w:bookmarkStart w:id="0" w:name="_ENACTING_CLAUSE__4adb9ef7_f5d6_4018_baa"/>
      <w:bookmarkStart w:id="1" w:name="_PAR__1_aad4bc7a_5372_4961_834e_302422ce"/>
      <w:bookmarkStart w:id="2" w:name="_DOC_BODY_CONTAINER__2057b901_aa8d_4dc9_"/>
      <w:r>
        <w:rPr>
          <w:rFonts w:ascii="Arial" w:eastAsia="Arial" w:hAnsi="Arial" w:cs="Arial"/>
          <w:b/>
        </w:rPr>
        <w:t>Be it enacted by the People of the State of Maine as follows:</w:t>
      </w:r>
    </w:p>
    <w:p w:rsidR="0001081C" w:rsidP="0001081C">
      <w:pPr>
        <w:ind w:left="360" w:firstLine="360"/>
        <w:rPr>
          <w:rFonts w:ascii="Arial" w:eastAsia="Arial" w:hAnsi="Arial" w:cs="Arial"/>
        </w:rPr>
      </w:pPr>
      <w:bookmarkStart w:id="3" w:name="_BILL_SECTION_HEADER__adbaed59_b721_4ea9"/>
      <w:bookmarkStart w:id="4" w:name="_PAR__2_eb374a91_2e34_4f23_83f9_10fb5d8c"/>
      <w:bookmarkStart w:id="5" w:name="_BILL_SECTION__c2dcc807_cd97_42c5_bcf1_1"/>
      <w:bookmarkStart w:id="6" w:name="_DOC_BODY_CONTENT__e31b577a_995e_47ed_9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2cc12cc_fbed_4d6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34-B MRSA §3863, sub-§7,</w:t>
      </w:r>
      <w:r>
        <w:rPr>
          <w:rFonts w:ascii="Arial" w:eastAsia="Arial" w:hAnsi="Arial" w:cs="Arial"/>
        </w:rPr>
        <w:t xml:space="preserve"> as amended by PL 2009, c. 651, §18, is further amended to read:</w:t>
      </w:r>
    </w:p>
    <w:p w:rsidR="0001081C" w:rsidP="0001081C">
      <w:pPr>
        <w:ind w:left="360" w:firstLine="360"/>
        <w:rPr>
          <w:rFonts w:ascii="Arial" w:eastAsia="Arial" w:hAnsi="Arial" w:cs="Arial"/>
        </w:rPr>
      </w:pPr>
      <w:bookmarkStart w:id="8" w:name="_STATUTE_NUMBER__87c0fdf1_d1c7_4649_9a09"/>
      <w:bookmarkStart w:id="9" w:name="_STATUTE_SS__5c0d4275_e9a9_4d56_9a66_2c9"/>
      <w:bookmarkStart w:id="10" w:name="_PAR__3_4431c4eb_0020_483a_997c_7ad6242b"/>
      <w:bookmarkEnd w:id="3"/>
      <w:bookmarkEnd w:id="4"/>
      <w:r>
        <w:rPr>
          <w:rFonts w:ascii="Arial" w:eastAsia="Arial" w:hAnsi="Arial" w:cs="Arial"/>
          <w:b/>
        </w:rPr>
        <w:t>7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2923b525_3cc3_47ef_85"/>
      <w:r>
        <w:rPr>
          <w:rFonts w:ascii="Arial" w:eastAsia="Arial" w:hAnsi="Arial" w:cs="Arial"/>
          <w:b/>
        </w:rPr>
        <w:t>Post-admission examination.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d3bb8597_c74f_45f3_b73"/>
      <w:r>
        <w:rPr>
          <w:rFonts w:ascii="Arial" w:eastAsia="Arial" w:hAnsi="Arial" w:cs="Arial"/>
        </w:rPr>
        <w:t xml:space="preserve">Every patient admitted to a psychiatric hospital under this section must be examined as soon as practicable after the patient's admission.  If findings required for admission under subsection 2 are not certified in a 2nd opinion by a staff </w:t>
      </w:r>
      <w:r>
        <w:rPr>
          <w:rFonts w:ascii="Arial" w:eastAsia="Arial" w:hAnsi="Arial" w:cs="Arial"/>
          <w:strike/>
        </w:rPr>
        <w:t>physician or licensed clinical psychologist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medical practitioner</w:t>
      </w:r>
      <w:r>
        <w:rPr>
          <w:rFonts w:ascii="Arial" w:eastAsia="Arial" w:hAnsi="Arial" w:cs="Arial"/>
        </w:rPr>
        <w:t xml:space="preserve"> within 24 hours after admission, the person must be immediately discharged.</w:t>
      </w:r>
      <w:bookmarkEnd w:id="12"/>
    </w:p>
    <w:p w:rsidR="0001081C" w:rsidP="0001081C">
      <w:pPr>
        <w:ind w:left="360" w:firstLine="360"/>
        <w:rPr>
          <w:rFonts w:ascii="Arial" w:eastAsia="Arial" w:hAnsi="Arial" w:cs="Arial"/>
        </w:rPr>
      </w:pPr>
      <w:bookmarkStart w:id="13" w:name="_BILL_SECTION_HEADER__65bd20f4_50b8_4446"/>
      <w:bookmarkStart w:id="14" w:name="_PAR__4_0f4a7c8c_1bf1_4463_a157_a33f67a6"/>
      <w:bookmarkStart w:id="15" w:name="_BILL_SECTION__a05a9a60_ac96_4427_bcaf_8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6d4750cc_5ff6_4772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34-B MRSA §3863, sub-§7-A,</w:t>
      </w:r>
      <w:r>
        <w:rPr>
          <w:rFonts w:ascii="Arial" w:eastAsia="Arial" w:hAnsi="Arial" w:cs="Arial"/>
        </w:rPr>
        <w:t xml:space="preserve"> as enacted by PL 2015, c. 309, §5, is amended to read:</w:t>
      </w:r>
    </w:p>
    <w:p w:rsidR="0001081C" w:rsidP="0001081C">
      <w:pPr>
        <w:ind w:left="360" w:firstLine="360"/>
        <w:rPr>
          <w:rFonts w:ascii="Arial" w:eastAsia="Arial" w:hAnsi="Arial" w:cs="Arial"/>
        </w:rPr>
      </w:pPr>
      <w:bookmarkStart w:id="17" w:name="_STATUTE_NUMBER__d0aa4c7f_e82c_4040_b337"/>
      <w:bookmarkStart w:id="18" w:name="_STATUTE_SS__9062e1d6_b5fc_4175_a2bb_54a"/>
      <w:bookmarkStart w:id="19" w:name="_PAR__5_017fbf41_b082_420c_a924_0ecca92d"/>
      <w:bookmarkEnd w:id="13"/>
      <w:bookmarkEnd w:id="14"/>
      <w:r>
        <w:rPr>
          <w:rFonts w:ascii="Arial" w:eastAsia="Arial" w:hAnsi="Arial" w:cs="Arial"/>
          <w:b/>
        </w:rPr>
        <w:t>7-A</w:t>
      </w:r>
      <w:bookmarkEnd w:id="17"/>
      <w:r>
        <w:rPr>
          <w:rFonts w:ascii="Arial" w:eastAsia="Arial" w:hAnsi="Arial" w:cs="Arial"/>
          <w:b/>
        </w:rPr>
        <w:t xml:space="preserve">.  </w:t>
      </w:r>
      <w:bookmarkStart w:id="20" w:name="_STATUTE_HEADNOTE__6413637c_dd0d_4930_ac"/>
      <w:r>
        <w:rPr>
          <w:rFonts w:ascii="Arial" w:eastAsia="Arial" w:hAnsi="Arial" w:cs="Arial"/>
          <w:b/>
        </w:rPr>
        <w:t>Post-admission discharge.</w:t>
      </w:r>
      <w:bookmarkEnd w:id="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" w:name="_STATUTE_CONTENT__6b08310f_327d_4a33_afe"/>
      <w:r>
        <w:rPr>
          <w:rFonts w:ascii="Arial" w:eastAsia="Arial" w:hAnsi="Arial" w:cs="Arial"/>
        </w:rPr>
        <w:t xml:space="preserve">If it is necessary to discharge a person because findings required for admission under subsection 2 are not certified in a 2nd opinion by a staff </w:t>
      </w:r>
      <w:r>
        <w:rPr>
          <w:rFonts w:ascii="Arial" w:eastAsia="Arial" w:hAnsi="Arial" w:cs="Arial"/>
          <w:strike/>
        </w:rPr>
        <w:t>physician or licensed clinical psychologist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edical practitioner</w:t>
      </w:r>
      <w:r>
        <w:rPr>
          <w:rFonts w:ascii="Arial" w:eastAsia="Arial" w:hAnsi="Arial" w:cs="Arial"/>
        </w:rPr>
        <w:t xml:space="preserve"> after examination in accordance with subsection 7, the staff </w:t>
      </w:r>
      <w:r>
        <w:rPr>
          <w:rFonts w:ascii="Arial" w:eastAsia="Arial" w:hAnsi="Arial" w:cs="Arial"/>
          <w:strike/>
        </w:rPr>
        <w:t>physician or licensed clinical psychologist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medical practitioner</w:t>
      </w:r>
      <w:r>
        <w:rPr>
          <w:rFonts w:ascii="Arial" w:eastAsia="Arial" w:hAnsi="Arial" w:cs="Arial"/>
        </w:rPr>
        <w:t xml:space="preserve"> shall record the discharge on the written application, which must contain a statement that the findings required for the person's admission specified under subsection 2 were not met.</w:t>
      </w:r>
      <w:bookmarkEnd w:id="21"/>
    </w:p>
    <w:p w:rsidR="0001081C" w:rsidP="0001081C">
      <w:pPr>
        <w:ind w:left="360" w:firstLine="360"/>
        <w:rPr>
          <w:rFonts w:ascii="Arial" w:eastAsia="Arial" w:hAnsi="Arial" w:cs="Arial"/>
        </w:rPr>
      </w:pPr>
      <w:bookmarkStart w:id="22" w:name="_BILL_SECTION_HEADER__485b87a4_d14e_4a0e"/>
      <w:bookmarkStart w:id="23" w:name="_BILL_SECTION__25b9837c_9813_44c6_abb6_d"/>
      <w:bookmarkStart w:id="24" w:name="_INSTRUCTION__072b1021_ff8e_40b3_85bd_23"/>
      <w:bookmarkEnd w:id="15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20c28205_d087_40b8"/>
      <w:r>
        <w:rPr>
          <w:rFonts w:ascii="Arial" w:eastAsia="Arial" w:hAnsi="Arial" w:cs="Arial"/>
          <w:b/>
          <w:sz w:val="24"/>
        </w:rPr>
        <w:t>3</w:t>
      </w:r>
      <w:bookmarkEnd w:id="25"/>
      <w:r>
        <w:rPr>
          <w:rFonts w:ascii="Arial" w:eastAsia="Arial" w:hAnsi="Arial" w:cs="Arial"/>
          <w:b/>
          <w:sz w:val="24"/>
        </w:rPr>
        <w:t>.  34-B MRSA §3864, sub-§1, ¶C,</w:t>
      </w:r>
      <w:r>
        <w:rPr>
          <w:rFonts w:ascii="Arial" w:eastAsia="Arial" w:hAnsi="Arial" w:cs="Arial"/>
        </w:rPr>
        <w:t xml:space="preserve"> as amended by PL 2009, c. 651, §20, is further amended to read:</w:t>
      </w:r>
    </w:p>
    <w:p w:rsidR="00000000" w:rsidP="0001081C">
      <w:pPr>
        <w:ind w:left="720"/>
        <w:rPr>
          <w:rFonts w:ascii="Arial" w:eastAsia="Arial" w:hAnsi="Arial" w:cs="Arial"/>
        </w:rPr>
      </w:pPr>
      <w:bookmarkStart w:id="26" w:name="_STATUTE_NUMBER__83b0b05a_6b17_43be_9713"/>
      <w:bookmarkStart w:id="27" w:name="_STATUTE_P__4970dbc5_f2fe_44a3_b392_6c26"/>
      <w:bookmarkEnd w:id="22"/>
      <w:r>
        <w:rPr>
          <w:rFonts w:ascii="Arial" w:eastAsia="Arial" w:hAnsi="Arial" w:cs="Arial"/>
        </w:rPr>
        <w:t>C</w:t>
      </w:r>
      <w:bookmarkEnd w:id="26"/>
      <w:r>
        <w:rPr>
          <w:rFonts w:ascii="Arial" w:eastAsia="Arial" w:hAnsi="Arial" w:cs="Arial"/>
        </w:rPr>
        <w:t xml:space="preserve">.  </w:t>
      </w:r>
      <w:bookmarkStart w:id="28" w:name="_STATUTE_CONTENT__54b086ff_4f80_4c91_a06"/>
      <w:r>
        <w:rPr>
          <w:rFonts w:ascii="Arial" w:eastAsia="Arial" w:hAnsi="Arial" w:cs="Arial"/>
        </w:rPr>
        <w:t xml:space="preserve">The certificate of the </w:t>
      </w:r>
      <w:bookmarkStart w:id="29" w:name="_REV__e1a85eb5_1869_48fe_90ad_363a30e820"/>
      <w:bookmarkStart w:id="30" w:name="_PROCESSED_CHANGE__a1164d3c_8517_4692_8a"/>
      <w:r>
        <w:rPr>
          <w:rFonts w:ascii="Arial" w:eastAsia="Arial" w:hAnsi="Arial" w:cs="Arial"/>
          <w:strike/>
        </w:rPr>
        <w:t>physician or psychologist</w:t>
      </w:r>
      <w:r>
        <w:rPr>
          <w:rFonts w:ascii="Arial" w:eastAsia="Arial" w:hAnsi="Arial" w:cs="Arial"/>
        </w:rPr>
        <w:t xml:space="preserve"> </w:t>
      </w:r>
      <w:bookmarkStart w:id="31" w:name="_REV__1f272062_eea6_427f_bd0a_cf9eb6d932"/>
      <w:bookmarkStart w:id="32" w:name="_PROCESSED_CHANGE__c1eabc40_598f_4a5b_89"/>
      <w:bookmarkEnd w:id="29"/>
      <w:bookmarkEnd w:id="30"/>
      <w:r>
        <w:rPr>
          <w:rFonts w:ascii="Arial" w:eastAsia="Arial" w:hAnsi="Arial" w:cs="Arial"/>
          <w:u w:val="single"/>
        </w:rPr>
        <w:t>medical practitioner</w:t>
      </w:r>
      <w:r>
        <w:rPr>
          <w:rFonts w:ascii="Arial" w:eastAsia="Arial" w:hAnsi="Arial" w:cs="Arial"/>
        </w:rPr>
        <w:t xml:space="preserve"> </w:t>
      </w:r>
      <w:bookmarkEnd w:id="31"/>
      <w:bookmarkEnd w:id="32"/>
      <w:r>
        <w:rPr>
          <w:rFonts w:ascii="Arial" w:eastAsia="Arial" w:hAnsi="Arial" w:cs="Arial"/>
        </w:rPr>
        <w:t xml:space="preserve">under </w:t>
      </w:r>
      <w:bookmarkStart w:id="33" w:name="_CROSS_REFERENCE__b0e98d56_f104_4d1d_b19"/>
      <w:r>
        <w:rPr>
          <w:rFonts w:ascii="Arial" w:eastAsia="Arial" w:hAnsi="Arial" w:cs="Arial"/>
        </w:rPr>
        <w:t>section 3863, subsection 7</w:t>
      </w:r>
      <w:bookmarkEnd w:id="33"/>
      <w:r>
        <w:rPr>
          <w:rFonts w:ascii="Arial" w:eastAsia="Arial" w:hAnsi="Arial" w:cs="Arial"/>
        </w:rPr>
        <w:t>;</w:t>
      </w:r>
      <w:bookmarkEnd w:id="28"/>
      <w:bookmarkEnd w:id="2"/>
      <w:bookmarkEnd w:id="6"/>
      <w:bookmarkEnd w:id="23"/>
      <w:bookmarkEnd w:id="24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LR0913,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Consistency Regarding Persons Authorized To Conduct Examinations for Emergency Involuntary Commitment and Post-admission Examinations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081C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