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Power Line Electrocutions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608 - L.D. 840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Prevent Power Line Electrocutions</w:t>
      </w:r>
    </w:p>
    <w:p w:rsidR="00006110" w:rsidP="00006110">
      <w:pPr>
        <w:ind w:left="360"/>
        <w:rPr>
          <w:rFonts w:ascii="Arial" w:eastAsia="Arial" w:hAnsi="Arial" w:cs="Arial"/>
        </w:rPr>
      </w:pPr>
      <w:bookmarkStart w:id="0" w:name="_ENACTING_CLAUSE__8054949a_9369_4bf7_ba7"/>
      <w:bookmarkStart w:id="1" w:name="_PAR__1_adb9e42d_f829_4cfd_a70a_84bd81b8"/>
      <w:bookmarkStart w:id="2" w:name="_DOC_BODY_CONTAINER__a572c1b6_ae2c_45e1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6110" w:rsidP="00006110">
      <w:pPr>
        <w:ind w:left="360" w:firstLine="360"/>
        <w:rPr>
          <w:rFonts w:ascii="Arial" w:eastAsia="Arial" w:hAnsi="Arial" w:cs="Arial"/>
        </w:rPr>
      </w:pPr>
      <w:bookmarkStart w:id="3" w:name="_BILL_SECTION_HEADER__91da698f_62b3_4053"/>
      <w:bookmarkStart w:id="4" w:name="_BILL_SECTION__da9dc5ed_f832_4cbf_abe3_b"/>
      <w:bookmarkStart w:id="5" w:name="_INSTRUCTION__9279df7c_70fa_4b10_914d_d2"/>
      <w:bookmarkStart w:id="6" w:name="_DOC_BODY_CONTENT__c1facb4e_4f73_44b5_9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9b8face_20ca_436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35-A MRSA §760,</w:t>
      </w:r>
      <w:r>
        <w:rPr>
          <w:rFonts w:ascii="Arial" w:eastAsia="Arial" w:hAnsi="Arial" w:cs="Arial"/>
        </w:rPr>
        <w:t xml:space="preserve"> as enacted by PL 1995, c. 348, §1, is amended to read:</w:t>
      </w:r>
    </w:p>
    <w:p w:rsidR="00006110" w:rsidP="00006110">
      <w:pPr>
        <w:ind w:left="1080" w:hanging="720"/>
        <w:rPr>
          <w:rFonts w:ascii="Arial" w:eastAsia="Arial" w:hAnsi="Arial" w:cs="Arial"/>
        </w:rPr>
      </w:pPr>
      <w:bookmarkStart w:id="8" w:name="_STATUTE_S__663095c9_99e2_4050_af59_8f6d"/>
      <w:bookmarkEnd w:id="3"/>
      <w:r>
        <w:rPr>
          <w:rFonts w:ascii="Arial" w:eastAsia="Arial" w:hAnsi="Arial" w:cs="Arial"/>
          <w:b/>
        </w:rPr>
        <w:t>§</w:t>
      </w:r>
      <w:bookmarkStart w:id="9" w:name="_STATUTE_NUMBER__9f98f17f_2f60_494a_8da6"/>
      <w:r>
        <w:rPr>
          <w:rFonts w:ascii="Arial" w:eastAsia="Arial" w:hAnsi="Arial" w:cs="Arial"/>
          <w:b/>
        </w:rPr>
        <w:t>760</w:t>
      </w:r>
      <w:bookmarkEnd w:id="9"/>
      <w:r>
        <w:rPr>
          <w:rFonts w:ascii="Arial" w:eastAsia="Arial" w:hAnsi="Arial" w:cs="Arial"/>
          <w:b/>
        </w:rPr>
        <w:t xml:space="preserve">.  </w:t>
      </w:r>
      <w:bookmarkStart w:id="10" w:name="_REV__a9de27ad_08a9_41c6_a901_ee29d539d2"/>
      <w:bookmarkStart w:id="11" w:name="_PROCESSED_CHANGE__91c67fd5_08b2_4d0f_a8"/>
      <w:bookmarkStart w:id="12" w:name="_PROCESSED_CHANGE__bca278a2_cbf6_4c05_93"/>
      <w:bookmarkStart w:id="13" w:name="_PROCESSED_CHANGE__348beae4_97ba_4380_b2"/>
      <w:bookmarkStart w:id="14" w:name="_STATUTE_HEADNOTE__bb8e8392_fc33_4b42_9f"/>
      <w:r>
        <w:rPr>
          <w:rFonts w:ascii="Arial" w:eastAsia="Arial" w:hAnsi="Arial" w:cs="Arial"/>
          <w:b/>
          <w:strike/>
        </w:rPr>
        <w:t>Indemnification</w:t>
      </w:r>
      <w:bookmarkStart w:id="15" w:name="_REV__ecc06c8b_58b4_476d_bc5a_f55f9bdcf9"/>
      <w:bookmarkStart w:id="16" w:name="_PROCESSED_CHANGE__6777b7a7_f2e6_4676_9c"/>
      <w:bookmarkStart w:id="17" w:name="_PROCESSED_CHANGE__333e7435_6a43_4134_aa"/>
      <w:bookmarkStart w:id="18" w:name="_PROCESSED_CHANGE__966f86d3_c4e3_4774_9c"/>
      <w:bookmarkEnd w:id="10"/>
      <w:bookmarkEnd w:id="11"/>
      <w:bookmarkEnd w:id="12"/>
      <w:bookmarkEnd w:id="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Liability</w:t>
      </w:r>
      <w:bookmarkEnd w:id="14"/>
      <w:bookmarkEnd w:id="15"/>
      <w:bookmarkEnd w:id="16"/>
      <w:bookmarkEnd w:id="17"/>
      <w:bookmarkEnd w:id="18"/>
    </w:p>
    <w:p w:rsidR="00000000" w:rsidP="00006110">
      <w:pPr>
        <w:ind w:left="360" w:firstLine="360"/>
        <w:rPr>
          <w:rFonts w:ascii="Arial" w:eastAsia="Arial" w:hAnsi="Arial" w:cs="Arial"/>
        </w:rPr>
      </w:pPr>
      <w:bookmarkStart w:id="19" w:name="_STATUTE_CONTENT__308f79df_4765_4be6_b00"/>
      <w:bookmarkStart w:id="20" w:name="_STATUTE_P__20839927_b4cc_4941_8a25_488e"/>
      <w:r>
        <w:rPr>
          <w:rFonts w:ascii="Arial" w:eastAsia="Arial" w:hAnsi="Arial" w:cs="Arial"/>
        </w:rPr>
        <w:t>A person is liable to the owner or operator of the overhead high-voltage line and 3rd parties, if any, for all</w:t>
      </w:r>
      <w:bookmarkStart w:id="21" w:name="_PROCESSED_CHANGE__7263c6a4_e2e5_4ac0_a2"/>
      <w:bookmarkStart w:id="22" w:name="_REV__f0ca5cdf_d43d_421b_b958_b67247a856"/>
      <w:bookmarkStart w:id="23" w:name="_PROCESSED_CHANGE__8828c949_170f_4a05_80"/>
      <w:bookmarkStart w:id="24" w:name="_PROCESSED_CHANGE__6510a860_3e1a_4838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part of</w:t>
      </w:r>
      <w:bookmarkEnd w:id="21"/>
      <w:r>
        <w:rPr>
          <w:rFonts w:ascii="Arial" w:eastAsia="Arial" w:hAnsi="Arial" w:cs="Arial"/>
          <w:u w:val="single"/>
        </w:rPr>
        <w:t xml:space="preserve"> the</w:t>
      </w:r>
      <w:bookmarkEnd w:id="22"/>
      <w:bookmarkEnd w:id="23"/>
      <w:bookmarkEnd w:id="24"/>
      <w:r>
        <w:rPr>
          <w:rFonts w:ascii="Arial" w:eastAsia="Arial" w:hAnsi="Arial" w:cs="Arial"/>
        </w:rPr>
        <w:t xml:space="preserve"> damages to facilities</w:t>
      </w:r>
      <w:bookmarkStart w:id="25" w:name="_REV__6f191718_bd6c_41e4_9bbe_081d22ac96"/>
      <w:bookmarkStart w:id="26" w:name="_PROCESSED_CHANGE__d72c78c4_87c7_4550_9c"/>
      <w:r>
        <w:rPr>
          <w:rFonts w:ascii="Arial" w:eastAsia="Arial" w:hAnsi="Arial" w:cs="Arial"/>
          <w:strike/>
        </w:rPr>
        <w:t>,</w:t>
      </w:r>
      <w:bookmarkStart w:id="27" w:name="_PROCESSED_CHANGE__c3fff0a1_a49b_4a71_b5"/>
      <w:bookmarkEnd w:id="25"/>
      <w:bookmarkEnd w:id="26"/>
      <w:r>
        <w:rPr>
          <w:rFonts w:ascii="Arial" w:eastAsia="Arial" w:hAnsi="Arial" w:cs="Arial"/>
        </w:rPr>
        <w:t xml:space="preserve"> </w:t>
      </w:r>
      <w:bookmarkStart w:id="28" w:name="_REV__968cbc26_75d4_40d5_ae03_0d51484a3b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27"/>
      <w:bookmarkEnd w:id="28"/>
      <w:r>
        <w:rPr>
          <w:rFonts w:ascii="Arial" w:eastAsia="Arial" w:hAnsi="Arial" w:cs="Arial"/>
        </w:rPr>
        <w:t>injuries to persons and all</w:t>
      </w:r>
      <w:bookmarkStart w:id="29" w:name="_PROCESSED_CHANGE__e664ed3e_d47b_4d03_89"/>
      <w:bookmarkStart w:id="30" w:name="_REV__649b6002_d27b_4f86_a0a7_4f8d636ed8"/>
      <w:bookmarkStart w:id="31" w:name="_PROCESSED_CHANGE__f9379f2d_e55e_4820_bf"/>
      <w:bookmarkStart w:id="32" w:name="_PROCESSED_CHANGE__b1366573_4f8c_4373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part of</w:t>
      </w:r>
      <w:bookmarkEnd w:id="29"/>
      <w:r>
        <w:rPr>
          <w:rFonts w:ascii="Arial" w:eastAsia="Arial" w:hAnsi="Arial" w:cs="Arial"/>
          <w:u w:val="single"/>
        </w:rPr>
        <w:t xml:space="preserve"> the</w:t>
      </w:r>
      <w:bookmarkEnd w:id="30"/>
      <w:bookmarkEnd w:id="31"/>
      <w:bookmarkEnd w:id="32"/>
      <w:r>
        <w:rPr>
          <w:rFonts w:ascii="Arial" w:eastAsia="Arial" w:hAnsi="Arial" w:cs="Arial"/>
        </w:rPr>
        <w:t xml:space="preserve"> costs, expenses and liabilities incurred by the owner or operator of the overhead high-voltage lines and 3rd parties, if any, as a result of any contact with an overhead high-voltage line if the person causes, permits or allows any work or activity in violation of a provision of this chapter and, as a result, a physical or electrical contact with an overhead high-voltage line occurs.</w:t>
      </w:r>
      <w:bookmarkStart w:id="33" w:name="_REV__4474a9d8_7749_4a46_bc1e_da47abaa9a"/>
      <w:bookmarkStart w:id="34" w:name="_PROCESSED_CHANGE__f2dc0094_9b57_4b8c_8a"/>
      <w:bookmarkStart w:id="35" w:name="_PROCESSED_CHANGE__1a2d2d5a_19a0_4ef8_a1"/>
      <w:bookmarkStart w:id="36" w:name="_PROCESSED_CHANGE__655b5d8a_82ab_4e5f_b6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>The allocatio</w:t>
      </w:r>
      <w:r>
        <w:rPr>
          <w:rFonts w:ascii="Arial" w:eastAsia="Arial" w:hAnsi="Arial" w:cs="Arial"/>
          <w:u w:val="single"/>
        </w:rPr>
        <w:t>n of damages must be based on the comparative negligence of the parties as set forth in Title 14, section 156, except that employers of injure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persons are immune from payment of damages to the extent provided under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Maine Wo</w:t>
      </w:r>
      <w:r>
        <w:rPr>
          <w:rFonts w:ascii="Arial" w:eastAsia="Arial" w:hAnsi="Arial" w:cs="Arial"/>
          <w:u w:val="single"/>
        </w:rPr>
        <w:t>rkers' Compensation Act of 1992.</w:t>
      </w:r>
      <w:bookmarkEnd w:id="19"/>
      <w:bookmarkEnd w:id="33"/>
      <w:bookmarkEnd w:id="34"/>
      <w:bookmarkEnd w:id="35"/>
      <w:bookmarkEnd w:id="36"/>
      <w:bookmarkEnd w:id="2"/>
      <w:bookmarkEnd w:id="4"/>
      <w:bookmarkEnd w:id="5"/>
      <w:bookmarkEnd w:id="6"/>
      <w:bookmarkEnd w:id="8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LR1809,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Prevent Power Line Electrocutions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6110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