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Fully Reimburse Municipalities for Lost Revenue Under the Property Tax Stabilization for Senior Citizens Program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Twenty-four</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423 - L.D. 646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Fully Reimburse Municipalities for Lost Revenue Under the Property Tax Stabilization for Senior Citizens Program</w:t>
      </w:r>
    </w:p>
    <w:p w:rsidR="00E2708A" w:rsidP="00E2708A">
      <w:pPr>
        <w:ind w:left="360" w:firstLine="360"/>
        <w:rPr>
          <w:rFonts w:ascii="Arial" w:eastAsia="Arial" w:hAnsi="Arial" w:cs="Arial"/>
        </w:rPr>
      </w:pPr>
      <w:bookmarkStart w:id="0" w:name="_EMERGENCY_PREAMBLE__eba15150_459c_495e_"/>
      <w:bookmarkStart w:id="1" w:name="_INSTRUCTION__5cf1973c_cf3f_44e3_8924_4f"/>
      <w:bookmarkStart w:id="2" w:name="_DOC_BODY_CONTAINER__06764548_4ea0_4667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E2708A" w:rsidP="00E2708A">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1D5336">
        <w:rPr>
          <w:rFonts w:ascii="Arial" w:eastAsia="Arial" w:hAnsi="Arial" w:cs="Arial"/>
        </w:rPr>
        <w:t xml:space="preserve">certain municipalities have not been fully reimbursed for lost revenue resulting from underfunding of the property tax stabilization </w:t>
      </w:r>
      <w:r>
        <w:rPr>
          <w:rFonts w:ascii="Arial" w:eastAsia="Arial" w:hAnsi="Arial" w:cs="Arial"/>
        </w:rPr>
        <w:t xml:space="preserve">for senior citizens </w:t>
      </w:r>
      <w:r w:rsidRPr="001D5336">
        <w:rPr>
          <w:rFonts w:ascii="Arial" w:eastAsia="Arial" w:hAnsi="Arial" w:cs="Arial"/>
        </w:rPr>
        <w:t xml:space="preserve">program established pursuant to Public Law 2021, chapter 751 and amended by Public Law 2023, chapter 412, </w:t>
      </w:r>
      <w:r>
        <w:rPr>
          <w:rFonts w:ascii="Arial" w:eastAsia="Arial" w:hAnsi="Arial" w:cs="Arial"/>
        </w:rPr>
        <w:t>Part S, section 10</w:t>
      </w:r>
      <w:r w:rsidRPr="001D5336">
        <w:rPr>
          <w:rFonts w:ascii="Arial" w:eastAsia="Arial" w:hAnsi="Arial" w:cs="Arial"/>
        </w:rPr>
        <w:t xml:space="preserve"> to apply only to the property tax year beginning April 1, 2023</w:t>
      </w:r>
      <w:r>
        <w:rPr>
          <w:rFonts w:ascii="Arial" w:eastAsia="Arial" w:hAnsi="Arial" w:cs="Arial"/>
        </w:rPr>
        <w:t>; and</w:t>
      </w:r>
    </w:p>
    <w:p w:rsidR="00E2708A" w:rsidP="00E2708A">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1D5336">
        <w:rPr>
          <w:rFonts w:ascii="Arial" w:eastAsia="Arial" w:hAnsi="Arial" w:cs="Arial"/>
        </w:rPr>
        <w:t>the lost revenue may have an immediate and material effect on municipalities</w:t>
      </w:r>
      <w:r>
        <w:rPr>
          <w:rFonts w:ascii="Arial" w:eastAsia="Arial" w:hAnsi="Arial" w:cs="Arial"/>
        </w:rPr>
        <w:t>;</w:t>
      </w:r>
      <w:r w:rsidRPr="001D5336">
        <w:rPr>
          <w:rFonts w:ascii="Arial" w:eastAsia="Arial" w:hAnsi="Arial" w:cs="Arial"/>
        </w:rPr>
        <w:t xml:space="preserve"> and</w:t>
      </w:r>
    </w:p>
    <w:p w:rsidR="00E2708A" w:rsidP="00E2708A">
      <w:pPr>
        <w:ind w:left="360" w:firstLine="360"/>
        <w:rPr>
          <w:rFonts w:ascii="Arial" w:eastAsia="Arial" w:hAnsi="Arial" w:cs="Arial"/>
        </w:rPr>
      </w:pPr>
      <w:bookmarkStart w:id="3" w:name="_WHEREAS_CLAUSE__4c13c3f9_db0a_4416_923f"/>
      <w:r>
        <w:rPr>
          <w:rFonts w:ascii="Arial" w:eastAsia="Arial" w:hAnsi="Arial" w:cs="Arial"/>
          <w:b/>
          <w:sz w:val="24"/>
        </w:rPr>
        <w:t xml:space="preserve">Whereas, </w:t>
      </w:r>
      <w:r>
        <w:rPr>
          <w:rFonts w:ascii="Arial" w:eastAsia="Arial" w:hAnsi="Arial" w:cs="Arial"/>
        </w:rPr>
        <w:t>due to these immediate and material effects on municipalities, this legislation requires the State Controller to transfer funds in March and June of 2024; and</w:t>
      </w:r>
    </w:p>
    <w:bookmarkEnd w:id="3"/>
    <w:p w:rsidR="00E2708A" w:rsidP="00E2708A">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E2708A" w:rsidP="00E2708A">
      <w:pPr>
        <w:ind w:left="360"/>
        <w:rPr>
          <w:rFonts w:ascii="Arial" w:eastAsia="Arial" w:hAnsi="Arial" w:cs="Arial"/>
        </w:rPr>
      </w:pPr>
      <w:bookmarkStart w:id="4" w:name="_ENACTING_CLAUSE__01368a0f_464a_482f_be8"/>
      <w:bookmarkStart w:id="5" w:name="_PAR__1_860b164f_4639_4284_b24c_8f35fc30"/>
      <w:bookmarkEnd w:id="0"/>
      <w:bookmarkEnd w:id="1"/>
      <w:r>
        <w:rPr>
          <w:rFonts w:ascii="Arial" w:eastAsia="Arial" w:hAnsi="Arial" w:cs="Arial"/>
          <w:b/>
        </w:rPr>
        <w:t>Be it enacted by the People of the State of Maine as follows:</w:t>
      </w:r>
    </w:p>
    <w:p w:rsidR="00E2708A" w:rsidP="00E2708A">
      <w:pPr>
        <w:ind w:left="360" w:firstLine="360"/>
        <w:rPr>
          <w:rFonts w:ascii="Arial" w:eastAsia="Arial" w:hAnsi="Arial" w:cs="Arial"/>
        </w:rPr>
      </w:pPr>
      <w:bookmarkStart w:id="6" w:name="_BILL_SECTION_UNALLOCATED__0e985ac0_c9a4"/>
      <w:bookmarkStart w:id="7" w:name="_INSTRUCTION__08a5d5ba_85e3_4dd1_9141_5d"/>
      <w:bookmarkStart w:id="8" w:name="_DOC_BODY_CONTENT__e05e730e_0943_4c0b_a4"/>
      <w:bookmarkEnd w:id="4"/>
      <w:bookmarkEnd w:id="5"/>
      <w:r>
        <w:rPr>
          <w:rFonts w:ascii="Arial" w:eastAsia="Arial" w:hAnsi="Arial" w:cs="Arial"/>
          <w:b/>
          <w:sz w:val="24"/>
        </w:rPr>
        <w:t xml:space="preserve">Sec. </w:t>
      </w:r>
      <w:bookmarkStart w:id="9" w:name="_BILL_SECTION_NUMBER__0332ca77_8009_4092"/>
      <w:r>
        <w:rPr>
          <w:rFonts w:ascii="Arial" w:eastAsia="Arial" w:hAnsi="Arial" w:cs="Arial"/>
          <w:b/>
          <w:sz w:val="24"/>
        </w:rPr>
        <w:t>1</w:t>
      </w:r>
      <w:bookmarkEnd w:id="9"/>
      <w:r>
        <w:rPr>
          <w:rFonts w:ascii="Arial" w:eastAsia="Arial" w:hAnsi="Arial" w:cs="Arial"/>
          <w:b/>
          <w:sz w:val="24"/>
        </w:rPr>
        <w:t>.</w:t>
      </w:r>
      <w:r w:rsidRPr="001D5336">
        <w:rPr>
          <w:rFonts w:ascii="Arial" w:eastAsia="Arial" w:hAnsi="Arial" w:cs="Arial"/>
        </w:rPr>
        <w:t xml:space="preserve"> </w:t>
      </w:r>
      <w:r w:rsidRPr="001D5336">
        <w:rPr>
          <w:rFonts w:ascii="Arial" w:eastAsia="Arial" w:hAnsi="Arial" w:cs="Arial"/>
          <w:b/>
          <w:sz w:val="24"/>
        </w:rPr>
        <w:t xml:space="preserve">Transfer to Department of Administrative and Financial Services, Property Tax Stabilization </w:t>
      </w:r>
      <w:r>
        <w:rPr>
          <w:rFonts w:ascii="Arial" w:eastAsia="Arial" w:hAnsi="Arial" w:cs="Arial"/>
          <w:b/>
          <w:sz w:val="24"/>
        </w:rPr>
        <w:t>p</w:t>
      </w:r>
      <w:r w:rsidRPr="001D5336">
        <w:rPr>
          <w:rFonts w:ascii="Arial" w:eastAsia="Arial" w:hAnsi="Arial" w:cs="Arial"/>
          <w:b/>
          <w:sz w:val="24"/>
        </w:rPr>
        <w:t>rogram.</w:t>
      </w:r>
      <w:r>
        <w:rPr>
          <w:rFonts w:ascii="Arial" w:eastAsia="Arial" w:hAnsi="Arial" w:cs="Arial"/>
        </w:rPr>
        <w:t xml:space="preserve">  </w:t>
      </w:r>
      <w:r w:rsidRPr="001D5336">
        <w:rPr>
          <w:rFonts w:ascii="Arial" w:eastAsia="Arial" w:hAnsi="Arial" w:cs="Arial"/>
        </w:rPr>
        <w:t xml:space="preserve">Notwithstanding any provision of law to the contrary, on or before March 1, 2024, the State Controller shall transfer $15,000,000 from the unappropriated surplus of the General Fund to the Department of Administrative and Financial Services, Property Tax Stabilization program, Other Special Revenue Funds account to fully reimburse municipalities for lost revenue under the </w:t>
      </w:r>
      <w:r>
        <w:rPr>
          <w:rFonts w:ascii="Arial" w:eastAsia="Arial" w:hAnsi="Arial" w:cs="Arial"/>
        </w:rPr>
        <w:t>p</w:t>
      </w:r>
      <w:r w:rsidRPr="001D5336">
        <w:rPr>
          <w:rFonts w:ascii="Arial" w:eastAsia="Arial" w:hAnsi="Arial" w:cs="Arial"/>
        </w:rPr>
        <w:t xml:space="preserve">roperty </w:t>
      </w:r>
      <w:r>
        <w:rPr>
          <w:rFonts w:ascii="Arial" w:eastAsia="Arial" w:hAnsi="Arial" w:cs="Arial"/>
        </w:rPr>
        <w:t>t</w:t>
      </w:r>
      <w:r w:rsidRPr="001D5336">
        <w:rPr>
          <w:rFonts w:ascii="Arial" w:eastAsia="Arial" w:hAnsi="Arial" w:cs="Arial"/>
        </w:rPr>
        <w:t xml:space="preserve">ax </w:t>
      </w:r>
      <w:r>
        <w:rPr>
          <w:rFonts w:ascii="Arial" w:eastAsia="Arial" w:hAnsi="Arial" w:cs="Arial"/>
        </w:rPr>
        <w:t>s</w:t>
      </w:r>
      <w:r w:rsidRPr="001D5336">
        <w:rPr>
          <w:rFonts w:ascii="Arial" w:eastAsia="Arial" w:hAnsi="Arial" w:cs="Arial"/>
        </w:rPr>
        <w:t xml:space="preserve">tabilization program </w:t>
      </w:r>
      <w:r>
        <w:rPr>
          <w:rFonts w:ascii="Arial" w:eastAsia="Arial" w:hAnsi="Arial" w:cs="Arial"/>
        </w:rPr>
        <w:t xml:space="preserve">under the Maine Revised Statutes, Title 36, section 6281 </w:t>
      </w:r>
      <w:r w:rsidRPr="001D5336">
        <w:rPr>
          <w:rFonts w:ascii="Arial" w:eastAsia="Arial" w:hAnsi="Arial" w:cs="Arial"/>
        </w:rPr>
        <w:t>in the property tax year beginning April 1, 2023 only.</w:t>
      </w:r>
    </w:p>
    <w:p w:rsidR="00E2708A" w:rsidP="00E2708A">
      <w:pPr>
        <w:ind w:left="360" w:firstLine="360"/>
        <w:rPr>
          <w:rFonts w:ascii="Arial" w:eastAsia="Arial" w:hAnsi="Arial" w:cs="Arial"/>
        </w:rPr>
      </w:pPr>
      <w:bookmarkStart w:id="10" w:name="_BILL_SECTION_UNALLOCATED__ab93e49f_2f46"/>
      <w:bookmarkEnd w:id="6"/>
      <w:r>
        <w:rPr>
          <w:rFonts w:ascii="Arial" w:eastAsia="Arial" w:hAnsi="Arial" w:cs="Arial"/>
          <w:b/>
          <w:sz w:val="24"/>
        </w:rPr>
        <w:t xml:space="preserve">Sec. </w:t>
      </w:r>
      <w:bookmarkStart w:id="11" w:name="_BILL_SECTION_NUMBER__9fccc821_7a2d_471a"/>
      <w:r>
        <w:rPr>
          <w:rFonts w:ascii="Arial" w:eastAsia="Arial" w:hAnsi="Arial" w:cs="Arial"/>
          <w:b/>
          <w:sz w:val="24"/>
        </w:rPr>
        <w:t>2</w:t>
      </w:r>
      <w:bookmarkEnd w:id="11"/>
      <w:r>
        <w:rPr>
          <w:rFonts w:ascii="Arial" w:eastAsia="Arial" w:hAnsi="Arial" w:cs="Arial"/>
          <w:b/>
          <w:sz w:val="24"/>
        </w:rPr>
        <w:t>.</w:t>
      </w:r>
      <w:r w:rsidRPr="001D5336">
        <w:rPr>
          <w:rFonts w:ascii="Arial" w:eastAsia="Arial" w:hAnsi="Arial" w:cs="Arial"/>
        </w:rPr>
        <w:t xml:space="preserve"> </w:t>
      </w:r>
      <w:r w:rsidRPr="001D5336">
        <w:rPr>
          <w:rFonts w:ascii="Arial" w:eastAsia="Arial" w:hAnsi="Arial" w:cs="Arial"/>
          <w:b/>
          <w:sz w:val="24"/>
        </w:rPr>
        <w:t>Transfer from General Fund unappropriated surplus; Property Tax Stabilization</w:t>
      </w:r>
      <w:r>
        <w:rPr>
          <w:rFonts w:ascii="Arial" w:eastAsia="Arial" w:hAnsi="Arial" w:cs="Arial"/>
          <w:b/>
          <w:sz w:val="24"/>
        </w:rPr>
        <w:t xml:space="preserve"> - M</w:t>
      </w:r>
      <w:r w:rsidRPr="001D5336">
        <w:rPr>
          <w:rFonts w:ascii="Arial" w:eastAsia="Arial" w:hAnsi="Arial" w:cs="Arial"/>
          <w:b/>
          <w:sz w:val="24"/>
        </w:rPr>
        <w:t>andate</w:t>
      </w:r>
      <w:r>
        <w:rPr>
          <w:rFonts w:ascii="Arial" w:eastAsia="Arial" w:hAnsi="Arial" w:cs="Arial"/>
          <w:b/>
          <w:sz w:val="24"/>
        </w:rPr>
        <w:t xml:space="preserve"> program</w:t>
      </w:r>
      <w:r w:rsidRPr="001D5336">
        <w:rPr>
          <w:rFonts w:ascii="Arial" w:eastAsia="Arial" w:hAnsi="Arial" w:cs="Arial"/>
          <w:b/>
          <w:sz w:val="24"/>
        </w:rPr>
        <w:t>.</w:t>
      </w:r>
      <w:r>
        <w:rPr>
          <w:rFonts w:ascii="Arial" w:eastAsia="Arial" w:hAnsi="Arial" w:cs="Arial"/>
        </w:rPr>
        <w:t xml:space="preserve">  </w:t>
      </w:r>
      <w:r w:rsidRPr="001D5336">
        <w:rPr>
          <w:rFonts w:ascii="Arial" w:eastAsia="Arial" w:hAnsi="Arial" w:cs="Arial"/>
        </w:rPr>
        <w:t>Notwithstanding any provision of law to the contrary, on or before June 30, 2024, the State Controller shall transfer $50,000 from the unappropriated surplus of the General Fund to the Department of Administrative and Financial Services, Property Tax Stabilization</w:t>
      </w:r>
      <w:r>
        <w:rPr>
          <w:rFonts w:ascii="Arial" w:eastAsia="Arial" w:hAnsi="Arial" w:cs="Arial"/>
        </w:rPr>
        <w:t xml:space="preserve"> - M</w:t>
      </w:r>
      <w:r w:rsidRPr="001D5336">
        <w:rPr>
          <w:rFonts w:ascii="Arial" w:eastAsia="Arial" w:hAnsi="Arial" w:cs="Arial"/>
        </w:rPr>
        <w:t>andate</w:t>
      </w:r>
      <w:r>
        <w:rPr>
          <w:rFonts w:ascii="Arial" w:eastAsia="Arial" w:hAnsi="Arial" w:cs="Arial"/>
        </w:rPr>
        <w:t xml:space="preserve"> program</w:t>
      </w:r>
      <w:r w:rsidRPr="001D5336">
        <w:rPr>
          <w:rFonts w:ascii="Arial" w:eastAsia="Arial" w:hAnsi="Arial" w:cs="Arial"/>
        </w:rPr>
        <w:t>, Other Special Revenue Funds account for the purposes of funding the reimbursements to municipalities for the state</w:t>
      </w:r>
      <w:r>
        <w:rPr>
          <w:rFonts w:ascii="Arial" w:eastAsia="Arial" w:hAnsi="Arial" w:cs="Arial"/>
        </w:rPr>
        <w:t>-</w:t>
      </w:r>
      <w:r w:rsidRPr="001D5336">
        <w:rPr>
          <w:rFonts w:ascii="Arial" w:eastAsia="Arial" w:hAnsi="Arial" w:cs="Arial"/>
        </w:rPr>
        <w:t xml:space="preserve">mandated costs related to implementation and administration of the </w:t>
      </w:r>
      <w:r>
        <w:rPr>
          <w:rFonts w:ascii="Arial" w:eastAsia="Arial" w:hAnsi="Arial" w:cs="Arial"/>
        </w:rPr>
        <w:t>p</w:t>
      </w:r>
      <w:r w:rsidRPr="001D5336">
        <w:rPr>
          <w:rFonts w:ascii="Arial" w:eastAsia="Arial" w:hAnsi="Arial" w:cs="Arial"/>
        </w:rPr>
        <w:t xml:space="preserve">roperty </w:t>
      </w:r>
      <w:r>
        <w:rPr>
          <w:rFonts w:ascii="Arial" w:eastAsia="Arial" w:hAnsi="Arial" w:cs="Arial"/>
        </w:rPr>
        <w:t>t</w:t>
      </w:r>
      <w:r w:rsidRPr="001D5336">
        <w:rPr>
          <w:rFonts w:ascii="Arial" w:eastAsia="Arial" w:hAnsi="Arial" w:cs="Arial"/>
        </w:rPr>
        <w:t xml:space="preserve">ax </w:t>
      </w:r>
      <w:r>
        <w:rPr>
          <w:rFonts w:ascii="Arial" w:eastAsia="Arial" w:hAnsi="Arial" w:cs="Arial"/>
        </w:rPr>
        <w:t>s</w:t>
      </w:r>
      <w:r w:rsidRPr="001D5336">
        <w:rPr>
          <w:rFonts w:ascii="Arial" w:eastAsia="Arial" w:hAnsi="Arial" w:cs="Arial"/>
        </w:rPr>
        <w:t>tabilization program</w:t>
      </w:r>
      <w:r>
        <w:rPr>
          <w:rFonts w:ascii="Arial" w:eastAsia="Arial" w:hAnsi="Arial" w:cs="Arial"/>
        </w:rPr>
        <w:t xml:space="preserve"> under the Maine Revised Statutes, Title 36, section 6281.</w:t>
      </w:r>
    </w:p>
    <w:p w:rsidR="00E2708A" w:rsidP="00E2708A">
      <w:pPr>
        <w:ind w:left="360" w:firstLine="360"/>
        <w:rPr>
          <w:rFonts w:ascii="Arial" w:eastAsia="Arial" w:hAnsi="Arial" w:cs="Arial"/>
        </w:rPr>
      </w:pPr>
      <w:bookmarkStart w:id="12" w:name="_APPROP_SECTION__76cc3cbf_eb28_4384_97b2"/>
      <w:bookmarkEnd w:id="10"/>
      <w:r>
        <w:rPr>
          <w:rFonts w:ascii="Arial" w:eastAsia="Arial" w:hAnsi="Arial" w:cs="Arial"/>
          <w:b/>
          <w:sz w:val="24"/>
        </w:rPr>
        <w:t xml:space="preserve">Sec. </w:t>
      </w:r>
      <w:bookmarkStart w:id="13" w:name="_BILL_SECTION_NUMBER__9680d2d6_1a9f_4686"/>
      <w:r>
        <w:rPr>
          <w:rFonts w:ascii="Arial" w:eastAsia="Arial" w:hAnsi="Arial" w:cs="Arial"/>
          <w:b/>
          <w:sz w:val="24"/>
        </w:rPr>
        <w:t>3</w:t>
      </w:r>
      <w:bookmarkEnd w:id="13"/>
      <w:r>
        <w:rPr>
          <w:rFonts w:ascii="Arial" w:eastAsia="Arial" w:hAnsi="Arial" w:cs="Arial"/>
          <w:b/>
          <w:sz w:val="24"/>
        </w:rPr>
        <w:t>.  Appropriations and allocations.</w:t>
      </w:r>
      <w:r>
        <w:rPr>
          <w:rFonts w:ascii="Arial" w:eastAsia="Arial" w:hAnsi="Arial" w:cs="Arial"/>
        </w:rPr>
        <w:t>  The following appropriations and allocations are made.</w:t>
      </w:r>
    </w:p>
    <w:p w:rsidR="00E2708A" w:rsidP="00E2708A">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E2708A" w:rsidP="00E2708A">
      <w:pPr>
        <w:pStyle w:val="BPSParagraphLeftAlign"/>
        <w:suppressAutoHyphens/>
        <w:ind w:left="360"/>
        <w:rPr>
          <w:rFonts w:ascii="Arial" w:eastAsia="Arial" w:hAnsi="Arial" w:cs="Arial"/>
        </w:rPr>
      </w:pPr>
      <w:r>
        <w:rPr>
          <w:rFonts w:ascii="Arial" w:eastAsia="Arial" w:hAnsi="Arial" w:cs="Arial"/>
          <w:b/>
        </w:rPr>
        <w:t>Property Tax Stabilization Z368</w:t>
      </w:r>
    </w:p>
    <w:p w:rsidR="00E2708A" w:rsidP="00E2708A">
      <w:pPr>
        <w:ind w:left="360"/>
        <w:rPr>
          <w:rFonts w:ascii="Arial" w:eastAsia="Arial" w:hAnsi="Arial" w:cs="Arial"/>
        </w:rPr>
      </w:pPr>
      <w:r>
        <w:rPr>
          <w:rFonts w:ascii="Arial" w:eastAsia="Arial" w:hAnsi="Arial" w:cs="Arial"/>
        </w:rPr>
        <w:t>Initiative: Provides a one-time allocation to fully reimburse municipalities for lost revenue under the property tax stabilization program under the Maine Revised Statutes, Title 36, section 6281.</w:t>
      </w:r>
    </w:p>
    <w:tbl>
      <w:tblPr>
        <w:tblStyle w:val="BPSTable"/>
        <w:tblW w:w="0" w:type="auto"/>
        <w:tblInd w:w="360" w:type="dxa"/>
        <w:tblCellMar>
          <w:left w:w="0" w:type="dxa"/>
          <w:right w:w="0" w:type="dxa"/>
        </w:tblCellMar>
        <w:tblLook w:val="04A0"/>
      </w:tblPr>
      <w:tblGrid>
        <w:gridCol w:w="5009"/>
        <w:gridCol w:w="1463"/>
        <w:gridCol w:w="1463"/>
      </w:tblGrid>
      <w:tr w:rsidTr="002E2502">
        <w:tblPrEx>
          <w:tblW w:w="0" w:type="auto"/>
          <w:tblInd w:w="360" w:type="dxa"/>
          <w:tblCellMar>
            <w:left w:w="0" w:type="dxa"/>
            <w:right w:w="0" w:type="dxa"/>
          </w:tblCellMar>
          <w:tblLook w:val="04A0"/>
        </w:tblPrEx>
        <w:tc>
          <w:tcPr>
            <w:tcW w:w="5069" w:type="dxa"/>
          </w:tcPr>
          <w:p w:rsidR="00E2708A" w:rsidP="002E2502">
            <w:pPr>
              <w:rPr>
                <w:rFonts w:ascii="Arial" w:eastAsia="Arial" w:hAnsi="Arial" w:cs="Arial"/>
              </w:rPr>
            </w:pPr>
            <w:r>
              <w:rPr>
                <w:rFonts w:ascii="Arial" w:eastAsia="Arial" w:hAnsi="Arial" w:cs="Arial"/>
                <w:b/>
              </w:rPr>
              <w:t>OTHER SPECIAL REVENUE FUNDS</w:t>
            </w:r>
          </w:p>
        </w:tc>
        <w:tc>
          <w:tcPr>
            <w:tcW w:w="1469" w:type="dxa"/>
          </w:tcPr>
          <w:p w:rsidR="00E2708A" w:rsidP="002E2502">
            <w:pPr>
              <w:jc w:val="right"/>
              <w:rPr>
                <w:rFonts w:ascii="Arial" w:eastAsia="Arial" w:hAnsi="Arial" w:cs="Arial"/>
              </w:rPr>
            </w:pPr>
            <w:r>
              <w:rPr>
                <w:rFonts w:ascii="Arial" w:eastAsia="Arial" w:hAnsi="Arial" w:cs="Arial"/>
                <w:b/>
              </w:rPr>
              <w:t>2023-24</w:t>
            </w:r>
          </w:p>
        </w:tc>
        <w:tc>
          <w:tcPr>
            <w:tcW w:w="1469" w:type="dxa"/>
          </w:tcPr>
          <w:p w:rsidR="00E2708A" w:rsidP="002E2502">
            <w:pPr>
              <w:jc w:val="right"/>
              <w:rPr>
                <w:rFonts w:ascii="Arial" w:eastAsia="Arial" w:hAnsi="Arial" w:cs="Arial"/>
              </w:rPr>
            </w:pPr>
            <w:r>
              <w:rPr>
                <w:rFonts w:ascii="Arial" w:eastAsia="Arial" w:hAnsi="Arial" w:cs="Arial"/>
                <w:b/>
              </w:rPr>
              <w:t>2024-25</w:t>
            </w:r>
          </w:p>
        </w:tc>
      </w:tr>
      <w:tr w:rsidTr="002E2502">
        <w:tblPrEx>
          <w:tblW w:w="0" w:type="auto"/>
          <w:tblInd w:w="360" w:type="dxa"/>
          <w:tblCellMar>
            <w:left w:w="0" w:type="dxa"/>
            <w:right w:w="0" w:type="dxa"/>
          </w:tblCellMar>
          <w:tblLook w:val="04A0"/>
        </w:tblPrEx>
        <w:tc>
          <w:tcPr>
            <w:tcW w:w="5069" w:type="dxa"/>
          </w:tcPr>
          <w:p w:rsidR="00E2708A" w:rsidP="002E2502">
            <w:pPr>
              <w:ind w:left="180"/>
              <w:rPr>
                <w:rFonts w:ascii="Arial" w:eastAsia="Arial" w:hAnsi="Arial" w:cs="Arial"/>
              </w:rPr>
            </w:pPr>
            <w:r>
              <w:rPr>
                <w:rFonts w:ascii="Arial" w:eastAsia="Arial" w:hAnsi="Arial" w:cs="Arial"/>
              </w:rPr>
              <w:t>All Other</w:t>
            </w:r>
          </w:p>
        </w:tc>
        <w:tc>
          <w:tcPr>
            <w:tcW w:w="1469" w:type="dxa"/>
          </w:tcPr>
          <w:p w:rsidR="00E2708A" w:rsidP="002E2502">
            <w:pPr>
              <w:jc w:val="right"/>
              <w:rPr>
                <w:rFonts w:ascii="Arial" w:eastAsia="Arial" w:hAnsi="Arial" w:cs="Arial"/>
              </w:rPr>
            </w:pPr>
            <w:r>
              <w:rPr>
                <w:rFonts w:ascii="Arial" w:eastAsia="Arial" w:hAnsi="Arial" w:cs="Arial"/>
              </w:rPr>
              <w:t>$15,000,000</w:t>
            </w:r>
          </w:p>
        </w:tc>
        <w:tc>
          <w:tcPr>
            <w:tcW w:w="1469" w:type="dxa"/>
          </w:tcPr>
          <w:p w:rsidR="00E2708A" w:rsidP="002E2502">
            <w:pPr>
              <w:jc w:val="right"/>
              <w:rPr>
                <w:rFonts w:ascii="Arial" w:eastAsia="Arial" w:hAnsi="Arial" w:cs="Arial"/>
              </w:rPr>
            </w:pPr>
            <w:r>
              <w:rPr>
                <w:rFonts w:ascii="Arial" w:eastAsia="Arial" w:hAnsi="Arial" w:cs="Arial"/>
              </w:rPr>
              <w:t>$0</w:t>
            </w:r>
          </w:p>
        </w:tc>
      </w:tr>
      <w:tr w:rsidTr="002E2502">
        <w:tblPrEx>
          <w:tblW w:w="0" w:type="auto"/>
          <w:tblInd w:w="360" w:type="dxa"/>
          <w:tblCellMar>
            <w:left w:w="0" w:type="dxa"/>
            <w:right w:w="0" w:type="dxa"/>
          </w:tblCellMar>
          <w:tblLook w:val="04A0"/>
        </w:tblPrEx>
        <w:tc>
          <w:tcPr>
            <w:tcW w:w="5069" w:type="dxa"/>
          </w:tcPr>
          <w:p w:rsidR="00E2708A" w:rsidP="002E2502">
            <w:pPr>
              <w:rPr>
                <w:rFonts w:ascii="Arial" w:eastAsia="Arial" w:hAnsi="Arial" w:cs="Arial"/>
              </w:rPr>
            </w:pPr>
            <w:r>
              <w:rPr>
                <w:rFonts w:ascii="Arial" w:eastAsia="Arial" w:hAnsi="Arial" w:cs="Arial"/>
              </w:rPr>
              <w:t xml:space="preserve"> </w:t>
            </w:r>
          </w:p>
        </w:tc>
        <w:tc>
          <w:tcPr>
            <w:tcW w:w="1469" w:type="dxa"/>
          </w:tcPr>
          <w:p w:rsidR="00E2708A" w:rsidP="002E2502">
            <w:pPr>
              <w:jc w:val="right"/>
              <w:rPr>
                <w:rFonts w:ascii="Arial" w:eastAsia="Arial" w:hAnsi="Arial" w:cs="Arial"/>
              </w:rPr>
            </w:pPr>
            <w:r>
              <w:rPr>
                <w:rFonts w:ascii="Arial" w:eastAsia="Arial" w:hAnsi="Arial" w:cs="Arial"/>
              </w:rPr>
              <w:t>__________</w:t>
            </w:r>
          </w:p>
        </w:tc>
        <w:tc>
          <w:tcPr>
            <w:tcW w:w="1469" w:type="dxa"/>
          </w:tcPr>
          <w:p w:rsidR="00E2708A" w:rsidP="002E2502">
            <w:pPr>
              <w:jc w:val="right"/>
              <w:rPr>
                <w:rFonts w:ascii="Arial" w:eastAsia="Arial" w:hAnsi="Arial" w:cs="Arial"/>
              </w:rPr>
            </w:pPr>
            <w:r>
              <w:rPr>
                <w:rFonts w:ascii="Arial" w:eastAsia="Arial" w:hAnsi="Arial" w:cs="Arial"/>
              </w:rPr>
              <w:t>__________</w:t>
            </w:r>
          </w:p>
        </w:tc>
      </w:tr>
      <w:tr w:rsidTr="002E2502">
        <w:tblPrEx>
          <w:tblW w:w="0" w:type="auto"/>
          <w:tblInd w:w="360" w:type="dxa"/>
          <w:tblCellMar>
            <w:left w:w="0" w:type="dxa"/>
            <w:right w:w="0" w:type="dxa"/>
          </w:tblCellMar>
          <w:tblLook w:val="04A0"/>
        </w:tblPrEx>
        <w:tc>
          <w:tcPr>
            <w:tcW w:w="5069" w:type="dxa"/>
          </w:tcPr>
          <w:p w:rsidR="00E2708A" w:rsidP="002E2502">
            <w:pPr>
              <w:rPr>
                <w:rFonts w:ascii="Arial" w:eastAsia="Arial" w:hAnsi="Arial" w:cs="Arial"/>
              </w:rPr>
            </w:pPr>
            <w:r>
              <w:rPr>
                <w:rFonts w:ascii="Arial" w:eastAsia="Arial" w:hAnsi="Arial" w:cs="Arial"/>
              </w:rPr>
              <w:t>OTHER SPECIAL REVENUE FUNDS TOTAL</w:t>
            </w:r>
          </w:p>
        </w:tc>
        <w:tc>
          <w:tcPr>
            <w:tcW w:w="1469" w:type="dxa"/>
          </w:tcPr>
          <w:p w:rsidR="00E2708A" w:rsidP="002E2502">
            <w:pPr>
              <w:jc w:val="right"/>
              <w:rPr>
                <w:rFonts w:ascii="Arial" w:eastAsia="Arial" w:hAnsi="Arial" w:cs="Arial"/>
              </w:rPr>
            </w:pPr>
            <w:r>
              <w:rPr>
                <w:rFonts w:ascii="Arial" w:eastAsia="Arial" w:hAnsi="Arial" w:cs="Arial"/>
              </w:rPr>
              <w:t>$15,000,000</w:t>
            </w:r>
          </w:p>
        </w:tc>
        <w:tc>
          <w:tcPr>
            <w:tcW w:w="1469" w:type="dxa"/>
          </w:tcPr>
          <w:p w:rsidR="00E2708A" w:rsidP="002E2502">
            <w:pPr>
              <w:jc w:val="right"/>
              <w:rPr>
                <w:rFonts w:ascii="Arial" w:eastAsia="Arial" w:hAnsi="Arial" w:cs="Arial"/>
              </w:rPr>
            </w:pPr>
            <w:r>
              <w:rPr>
                <w:rFonts w:ascii="Arial" w:eastAsia="Arial" w:hAnsi="Arial" w:cs="Arial"/>
              </w:rPr>
              <w:t>$0</w:t>
            </w:r>
          </w:p>
        </w:tc>
      </w:tr>
    </w:tbl>
    <w:p w:rsidR="00E2708A" w:rsidP="00E2708A">
      <w:pPr>
        <w:pStyle w:val="BPSParagraphLeftAlign"/>
        <w:suppressAutoHyphens/>
        <w:ind w:left="360"/>
        <w:rPr>
          <w:rFonts w:ascii="Arial" w:eastAsia="Arial" w:hAnsi="Arial" w:cs="Arial"/>
        </w:rPr>
      </w:pPr>
      <w:r>
        <w:rPr>
          <w:rFonts w:ascii="Arial" w:eastAsia="Arial" w:hAnsi="Arial" w:cs="Arial"/>
          <w:b/>
        </w:rPr>
        <w:t>Property Tax Stabilization - Mandate Z369</w:t>
      </w:r>
    </w:p>
    <w:p w:rsidR="00E2708A" w:rsidP="00E2708A">
      <w:pPr>
        <w:ind w:left="360"/>
        <w:rPr>
          <w:rFonts w:ascii="Arial" w:eastAsia="Arial" w:hAnsi="Arial" w:cs="Arial"/>
        </w:rPr>
      </w:pPr>
      <w:r>
        <w:rPr>
          <w:rFonts w:ascii="Arial" w:eastAsia="Arial" w:hAnsi="Arial" w:cs="Arial"/>
        </w:rPr>
        <w:t>Initiative: Provides a one-time allocation to reimburse municipalities for state-mandated costs related to implementation and administration of the property tax stabilization program under the Maine Revised Statutes, Title 36, section 6281.</w:t>
      </w:r>
    </w:p>
    <w:tbl>
      <w:tblPr>
        <w:tblStyle w:val="BPSTable"/>
        <w:tblW w:w="0" w:type="auto"/>
        <w:tblInd w:w="360" w:type="dxa"/>
        <w:tblCellMar>
          <w:left w:w="0" w:type="dxa"/>
          <w:right w:w="0" w:type="dxa"/>
        </w:tblCellMar>
        <w:tblLook w:val="04A0"/>
      </w:tblPr>
      <w:tblGrid>
        <w:gridCol w:w="5009"/>
        <w:gridCol w:w="1463"/>
        <w:gridCol w:w="1463"/>
      </w:tblGrid>
      <w:tr w:rsidTr="002E2502">
        <w:tblPrEx>
          <w:tblW w:w="0" w:type="auto"/>
          <w:tblInd w:w="360" w:type="dxa"/>
          <w:tblCellMar>
            <w:left w:w="0" w:type="dxa"/>
            <w:right w:w="0" w:type="dxa"/>
          </w:tblCellMar>
          <w:tblLook w:val="04A0"/>
        </w:tblPrEx>
        <w:tc>
          <w:tcPr>
            <w:tcW w:w="5069" w:type="dxa"/>
          </w:tcPr>
          <w:p w:rsidR="00E2708A" w:rsidP="002E2502">
            <w:pPr>
              <w:rPr>
                <w:rFonts w:ascii="Arial" w:eastAsia="Arial" w:hAnsi="Arial" w:cs="Arial"/>
              </w:rPr>
            </w:pPr>
            <w:r>
              <w:rPr>
                <w:rFonts w:ascii="Arial" w:eastAsia="Arial" w:hAnsi="Arial" w:cs="Arial"/>
                <w:b/>
              </w:rPr>
              <w:t>OTHER SPECIAL REVENUE FUNDS</w:t>
            </w:r>
          </w:p>
        </w:tc>
        <w:tc>
          <w:tcPr>
            <w:tcW w:w="1469" w:type="dxa"/>
          </w:tcPr>
          <w:p w:rsidR="00E2708A" w:rsidP="002E2502">
            <w:pPr>
              <w:jc w:val="right"/>
              <w:rPr>
                <w:rFonts w:ascii="Arial" w:eastAsia="Arial" w:hAnsi="Arial" w:cs="Arial"/>
              </w:rPr>
            </w:pPr>
            <w:r>
              <w:rPr>
                <w:rFonts w:ascii="Arial" w:eastAsia="Arial" w:hAnsi="Arial" w:cs="Arial"/>
                <w:b/>
              </w:rPr>
              <w:t>2023-24</w:t>
            </w:r>
          </w:p>
        </w:tc>
        <w:tc>
          <w:tcPr>
            <w:tcW w:w="1469" w:type="dxa"/>
          </w:tcPr>
          <w:p w:rsidR="00E2708A" w:rsidP="002E2502">
            <w:pPr>
              <w:jc w:val="right"/>
              <w:rPr>
                <w:rFonts w:ascii="Arial" w:eastAsia="Arial" w:hAnsi="Arial" w:cs="Arial"/>
              </w:rPr>
            </w:pPr>
            <w:r>
              <w:rPr>
                <w:rFonts w:ascii="Arial" w:eastAsia="Arial" w:hAnsi="Arial" w:cs="Arial"/>
                <w:b/>
              </w:rPr>
              <w:t>2024-25</w:t>
            </w:r>
          </w:p>
        </w:tc>
      </w:tr>
      <w:tr w:rsidTr="002E2502">
        <w:tblPrEx>
          <w:tblW w:w="0" w:type="auto"/>
          <w:tblInd w:w="360" w:type="dxa"/>
          <w:tblCellMar>
            <w:left w:w="0" w:type="dxa"/>
            <w:right w:w="0" w:type="dxa"/>
          </w:tblCellMar>
          <w:tblLook w:val="04A0"/>
        </w:tblPrEx>
        <w:tc>
          <w:tcPr>
            <w:tcW w:w="5069" w:type="dxa"/>
          </w:tcPr>
          <w:p w:rsidR="00E2708A" w:rsidP="002E2502">
            <w:pPr>
              <w:ind w:left="180"/>
              <w:rPr>
                <w:rFonts w:ascii="Arial" w:eastAsia="Arial" w:hAnsi="Arial" w:cs="Arial"/>
              </w:rPr>
            </w:pPr>
            <w:r>
              <w:rPr>
                <w:rFonts w:ascii="Arial" w:eastAsia="Arial" w:hAnsi="Arial" w:cs="Arial"/>
              </w:rPr>
              <w:t>All Other</w:t>
            </w:r>
          </w:p>
        </w:tc>
        <w:tc>
          <w:tcPr>
            <w:tcW w:w="1469" w:type="dxa"/>
          </w:tcPr>
          <w:p w:rsidR="00E2708A" w:rsidP="002E2502">
            <w:pPr>
              <w:jc w:val="right"/>
              <w:rPr>
                <w:rFonts w:ascii="Arial" w:eastAsia="Arial" w:hAnsi="Arial" w:cs="Arial"/>
              </w:rPr>
            </w:pPr>
            <w:r>
              <w:rPr>
                <w:rFonts w:ascii="Arial" w:eastAsia="Arial" w:hAnsi="Arial" w:cs="Arial"/>
              </w:rPr>
              <w:t>$50,000</w:t>
            </w:r>
          </w:p>
        </w:tc>
        <w:tc>
          <w:tcPr>
            <w:tcW w:w="1469" w:type="dxa"/>
          </w:tcPr>
          <w:p w:rsidR="00E2708A" w:rsidP="002E2502">
            <w:pPr>
              <w:jc w:val="right"/>
              <w:rPr>
                <w:rFonts w:ascii="Arial" w:eastAsia="Arial" w:hAnsi="Arial" w:cs="Arial"/>
              </w:rPr>
            </w:pPr>
            <w:r>
              <w:rPr>
                <w:rFonts w:ascii="Arial" w:eastAsia="Arial" w:hAnsi="Arial" w:cs="Arial"/>
              </w:rPr>
              <w:t>$0</w:t>
            </w:r>
          </w:p>
        </w:tc>
      </w:tr>
      <w:tr w:rsidTr="002E2502">
        <w:tblPrEx>
          <w:tblW w:w="0" w:type="auto"/>
          <w:tblInd w:w="360" w:type="dxa"/>
          <w:tblCellMar>
            <w:left w:w="0" w:type="dxa"/>
            <w:right w:w="0" w:type="dxa"/>
          </w:tblCellMar>
          <w:tblLook w:val="04A0"/>
        </w:tblPrEx>
        <w:tc>
          <w:tcPr>
            <w:tcW w:w="5069" w:type="dxa"/>
          </w:tcPr>
          <w:p w:rsidR="00E2708A" w:rsidP="002E2502">
            <w:pPr>
              <w:rPr>
                <w:rFonts w:ascii="Arial" w:eastAsia="Arial" w:hAnsi="Arial" w:cs="Arial"/>
              </w:rPr>
            </w:pPr>
            <w:r>
              <w:rPr>
                <w:rFonts w:ascii="Arial" w:eastAsia="Arial" w:hAnsi="Arial" w:cs="Arial"/>
              </w:rPr>
              <w:t xml:space="preserve"> </w:t>
            </w:r>
          </w:p>
        </w:tc>
        <w:tc>
          <w:tcPr>
            <w:tcW w:w="1469" w:type="dxa"/>
          </w:tcPr>
          <w:p w:rsidR="00E2708A" w:rsidP="002E2502">
            <w:pPr>
              <w:jc w:val="right"/>
              <w:rPr>
                <w:rFonts w:ascii="Arial" w:eastAsia="Arial" w:hAnsi="Arial" w:cs="Arial"/>
              </w:rPr>
            </w:pPr>
            <w:r>
              <w:rPr>
                <w:rFonts w:ascii="Arial" w:eastAsia="Arial" w:hAnsi="Arial" w:cs="Arial"/>
              </w:rPr>
              <w:t>__________</w:t>
            </w:r>
          </w:p>
        </w:tc>
        <w:tc>
          <w:tcPr>
            <w:tcW w:w="1469" w:type="dxa"/>
          </w:tcPr>
          <w:p w:rsidR="00E2708A" w:rsidP="002E2502">
            <w:pPr>
              <w:jc w:val="right"/>
              <w:rPr>
                <w:rFonts w:ascii="Arial" w:eastAsia="Arial" w:hAnsi="Arial" w:cs="Arial"/>
              </w:rPr>
            </w:pPr>
            <w:r>
              <w:rPr>
                <w:rFonts w:ascii="Arial" w:eastAsia="Arial" w:hAnsi="Arial" w:cs="Arial"/>
              </w:rPr>
              <w:t>__________</w:t>
            </w:r>
          </w:p>
        </w:tc>
      </w:tr>
      <w:tr w:rsidTr="002E2502">
        <w:tblPrEx>
          <w:tblW w:w="0" w:type="auto"/>
          <w:tblInd w:w="360" w:type="dxa"/>
          <w:tblCellMar>
            <w:left w:w="0" w:type="dxa"/>
            <w:right w:w="0" w:type="dxa"/>
          </w:tblCellMar>
          <w:tblLook w:val="04A0"/>
        </w:tblPrEx>
        <w:tc>
          <w:tcPr>
            <w:tcW w:w="5069" w:type="dxa"/>
          </w:tcPr>
          <w:p w:rsidR="00E2708A" w:rsidP="002E2502">
            <w:pPr>
              <w:rPr>
                <w:rFonts w:ascii="Arial" w:eastAsia="Arial" w:hAnsi="Arial" w:cs="Arial"/>
              </w:rPr>
            </w:pPr>
            <w:r>
              <w:rPr>
                <w:rFonts w:ascii="Arial" w:eastAsia="Arial" w:hAnsi="Arial" w:cs="Arial"/>
              </w:rPr>
              <w:t>OTHER SPECIAL REVENUE FUNDS TOTAL</w:t>
            </w:r>
          </w:p>
        </w:tc>
        <w:tc>
          <w:tcPr>
            <w:tcW w:w="1469" w:type="dxa"/>
          </w:tcPr>
          <w:p w:rsidR="00E2708A" w:rsidP="002E2502">
            <w:pPr>
              <w:jc w:val="right"/>
              <w:rPr>
                <w:rFonts w:ascii="Arial" w:eastAsia="Arial" w:hAnsi="Arial" w:cs="Arial"/>
              </w:rPr>
            </w:pPr>
            <w:r>
              <w:rPr>
                <w:rFonts w:ascii="Arial" w:eastAsia="Arial" w:hAnsi="Arial" w:cs="Arial"/>
              </w:rPr>
              <w:t>$50,000</w:t>
            </w:r>
          </w:p>
        </w:tc>
        <w:tc>
          <w:tcPr>
            <w:tcW w:w="1469" w:type="dxa"/>
          </w:tcPr>
          <w:p w:rsidR="00E2708A" w:rsidP="002E2502">
            <w:pPr>
              <w:jc w:val="right"/>
              <w:rPr>
                <w:rFonts w:ascii="Arial" w:eastAsia="Arial" w:hAnsi="Arial" w:cs="Arial"/>
              </w:rPr>
            </w:pPr>
            <w:r>
              <w:rPr>
                <w:rFonts w:ascii="Arial" w:eastAsia="Arial" w:hAnsi="Arial" w:cs="Arial"/>
              </w:rPr>
              <w:t>$0</w:t>
            </w:r>
          </w:p>
        </w:tc>
      </w:tr>
    </w:tbl>
    <w:p w:rsidR="00E2708A" w:rsidP="00E2708A">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2E2502">
        <w:tblPrEx>
          <w:tblW w:w="0" w:type="auto"/>
          <w:tblInd w:w="360" w:type="dxa"/>
          <w:tblCellMar>
            <w:left w:w="0" w:type="dxa"/>
            <w:right w:w="0" w:type="dxa"/>
          </w:tblCellMar>
          <w:tblLook w:val="04A0"/>
        </w:tblPrEx>
        <w:tc>
          <w:tcPr>
            <w:tcW w:w="5069" w:type="dxa"/>
          </w:tcPr>
          <w:p w:rsidR="00E2708A" w:rsidP="002E2502">
            <w:pPr>
              <w:rPr>
                <w:rFonts w:ascii="Arial" w:eastAsia="Arial" w:hAnsi="Arial" w:cs="Arial"/>
              </w:rPr>
            </w:pPr>
            <w:r>
              <w:rPr>
                <w:rFonts w:ascii="Arial" w:eastAsia="Arial" w:hAnsi="Arial" w:cs="Arial"/>
                <w:b/>
              </w:rPr>
              <w:t>ADMINISTRATIVE AND FINANCIAL SERVICES, DEPARTMENT OF</w:t>
            </w:r>
          </w:p>
        </w:tc>
        <w:tc>
          <w:tcPr>
            <w:tcW w:w="1469" w:type="dxa"/>
          </w:tcPr>
          <w:p w:rsidR="00E2708A" w:rsidP="002E2502">
            <w:pPr>
              <w:rPr>
                <w:rFonts w:ascii="Arial" w:eastAsia="Arial" w:hAnsi="Arial" w:cs="Arial"/>
              </w:rPr>
            </w:pPr>
            <w:r>
              <w:rPr>
                <w:rFonts w:ascii="Arial" w:eastAsia="Arial" w:hAnsi="Arial" w:cs="Arial"/>
              </w:rPr>
              <w:t xml:space="preserve"> </w:t>
            </w:r>
          </w:p>
        </w:tc>
        <w:tc>
          <w:tcPr>
            <w:tcW w:w="1469" w:type="dxa"/>
          </w:tcPr>
          <w:p w:rsidR="00E2708A" w:rsidP="002E2502">
            <w:pPr>
              <w:rPr>
                <w:rFonts w:ascii="Arial" w:eastAsia="Arial" w:hAnsi="Arial" w:cs="Arial"/>
              </w:rPr>
            </w:pPr>
            <w:r>
              <w:rPr>
                <w:rFonts w:ascii="Arial" w:eastAsia="Arial" w:hAnsi="Arial" w:cs="Arial"/>
              </w:rPr>
              <w:t xml:space="preserve"> </w:t>
            </w:r>
          </w:p>
        </w:tc>
      </w:tr>
      <w:tr w:rsidTr="002E2502">
        <w:tblPrEx>
          <w:tblW w:w="0" w:type="auto"/>
          <w:tblInd w:w="360" w:type="dxa"/>
          <w:tblCellMar>
            <w:left w:w="0" w:type="dxa"/>
            <w:right w:w="0" w:type="dxa"/>
          </w:tblCellMar>
          <w:tblLook w:val="04A0"/>
        </w:tblPrEx>
        <w:tc>
          <w:tcPr>
            <w:tcW w:w="5069" w:type="dxa"/>
          </w:tcPr>
          <w:p w:rsidR="00E2708A" w:rsidP="002E2502">
            <w:pPr>
              <w:rPr>
                <w:rFonts w:ascii="Arial" w:eastAsia="Arial" w:hAnsi="Arial" w:cs="Arial"/>
              </w:rPr>
            </w:pPr>
            <w:r>
              <w:rPr>
                <w:rFonts w:ascii="Arial" w:eastAsia="Arial" w:hAnsi="Arial" w:cs="Arial"/>
                <w:b/>
              </w:rPr>
              <w:t>DEPARTMENT TOTALS</w:t>
            </w:r>
          </w:p>
        </w:tc>
        <w:tc>
          <w:tcPr>
            <w:tcW w:w="1469" w:type="dxa"/>
          </w:tcPr>
          <w:p w:rsidR="00E2708A" w:rsidP="002E2502">
            <w:pPr>
              <w:jc w:val="right"/>
              <w:rPr>
                <w:rFonts w:ascii="Arial" w:eastAsia="Arial" w:hAnsi="Arial" w:cs="Arial"/>
              </w:rPr>
            </w:pPr>
            <w:r>
              <w:rPr>
                <w:rFonts w:ascii="Arial" w:eastAsia="Arial" w:hAnsi="Arial" w:cs="Arial"/>
                <w:b/>
              </w:rPr>
              <w:t>2023-24</w:t>
            </w:r>
          </w:p>
        </w:tc>
        <w:tc>
          <w:tcPr>
            <w:tcW w:w="1469" w:type="dxa"/>
          </w:tcPr>
          <w:p w:rsidR="00E2708A" w:rsidP="002E2502">
            <w:pPr>
              <w:jc w:val="right"/>
              <w:rPr>
                <w:rFonts w:ascii="Arial" w:eastAsia="Arial" w:hAnsi="Arial" w:cs="Arial"/>
              </w:rPr>
            </w:pPr>
            <w:r>
              <w:rPr>
                <w:rFonts w:ascii="Arial" w:eastAsia="Arial" w:hAnsi="Arial" w:cs="Arial"/>
                <w:b/>
              </w:rPr>
              <w:t>2024-25</w:t>
            </w:r>
          </w:p>
        </w:tc>
      </w:tr>
      <w:tr w:rsidTr="002E2502">
        <w:tblPrEx>
          <w:tblW w:w="0" w:type="auto"/>
          <w:tblInd w:w="360" w:type="dxa"/>
          <w:tblCellMar>
            <w:left w:w="0" w:type="dxa"/>
            <w:right w:w="0" w:type="dxa"/>
          </w:tblCellMar>
          <w:tblLook w:val="04A0"/>
        </w:tblPrEx>
        <w:tc>
          <w:tcPr>
            <w:tcW w:w="5069" w:type="dxa"/>
          </w:tcPr>
          <w:p w:rsidR="00E2708A" w:rsidP="002E2502">
            <w:pPr>
              <w:rPr>
                <w:rFonts w:ascii="Arial" w:eastAsia="Arial" w:hAnsi="Arial" w:cs="Arial"/>
              </w:rPr>
            </w:pPr>
            <w:r>
              <w:rPr>
                <w:rFonts w:ascii="Arial" w:eastAsia="Arial" w:hAnsi="Arial" w:cs="Arial"/>
              </w:rPr>
              <w:t xml:space="preserve"> </w:t>
            </w:r>
          </w:p>
        </w:tc>
        <w:tc>
          <w:tcPr>
            <w:tcW w:w="1469" w:type="dxa"/>
          </w:tcPr>
          <w:p w:rsidR="00E2708A" w:rsidP="002E2502">
            <w:pPr>
              <w:rPr>
                <w:rFonts w:ascii="Arial" w:eastAsia="Arial" w:hAnsi="Arial" w:cs="Arial"/>
              </w:rPr>
            </w:pPr>
            <w:r>
              <w:rPr>
                <w:rFonts w:ascii="Arial" w:eastAsia="Arial" w:hAnsi="Arial" w:cs="Arial"/>
              </w:rPr>
              <w:t xml:space="preserve"> </w:t>
            </w:r>
          </w:p>
        </w:tc>
        <w:tc>
          <w:tcPr>
            <w:tcW w:w="1469" w:type="dxa"/>
          </w:tcPr>
          <w:p w:rsidR="00E2708A" w:rsidP="002E2502">
            <w:pPr>
              <w:rPr>
                <w:rFonts w:ascii="Arial" w:eastAsia="Arial" w:hAnsi="Arial" w:cs="Arial"/>
              </w:rPr>
            </w:pPr>
            <w:r>
              <w:rPr>
                <w:rFonts w:ascii="Arial" w:eastAsia="Arial" w:hAnsi="Arial" w:cs="Arial"/>
              </w:rPr>
              <w:t xml:space="preserve"> </w:t>
            </w:r>
          </w:p>
        </w:tc>
      </w:tr>
      <w:tr w:rsidTr="002E2502">
        <w:tblPrEx>
          <w:tblW w:w="0" w:type="auto"/>
          <w:tblInd w:w="360" w:type="dxa"/>
          <w:tblCellMar>
            <w:left w:w="0" w:type="dxa"/>
            <w:right w:w="0" w:type="dxa"/>
          </w:tblCellMar>
          <w:tblLook w:val="04A0"/>
        </w:tblPrEx>
        <w:tc>
          <w:tcPr>
            <w:tcW w:w="5069" w:type="dxa"/>
          </w:tcPr>
          <w:p w:rsidR="00E2708A" w:rsidP="002E2502">
            <w:pPr>
              <w:ind w:left="180"/>
              <w:rPr>
                <w:rFonts w:ascii="Arial" w:eastAsia="Arial" w:hAnsi="Arial" w:cs="Arial"/>
              </w:rPr>
            </w:pPr>
            <w:r>
              <w:rPr>
                <w:rFonts w:ascii="Arial" w:eastAsia="Arial" w:hAnsi="Arial" w:cs="Arial"/>
                <w:b/>
              </w:rPr>
              <w:t>OTHER SPECIAL REVENUE FUNDS</w:t>
            </w:r>
          </w:p>
        </w:tc>
        <w:tc>
          <w:tcPr>
            <w:tcW w:w="1469" w:type="dxa"/>
          </w:tcPr>
          <w:p w:rsidR="00E2708A" w:rsidP="002E2502">
            <w:pPr>
              <w:jc w:val="right"/>
              <w:rPr>
                <w:rFonts w:ascii="Arial" w:eastAsia="Arial" w:hAnsi="Arial" w:cs="Arial"/>
              </w:rPr>
            </w:pPr>
            <w:r>
              <w:rPr>
                <w:rFonts w:ascii="Arial" w:eastAsia="Arial" w:hAnsi="Arial" w:cs="Arial"/>
                <w:b/>
              </w:rPr>
              <w:t>$15,050,000</w:t>
            </w:r>
          </w:p>
        </w:tc>
        <w:tc>
          <w:tcPr>
            <w:tcW w:w="1469" w:type="dxa"/>
          </w:tcPr>
          <w:p w:rsidR="00E2708A" w:rsidP="002E2502">
            <w:pPr>
              <w:jc w:val="right"/>
              <w:rPr>
                <w:rFonts w:ascii="Arial" w:eastAsia="Arial" w:hAnsi="Arial" w:cs="Arial"/>
              </w:rPr>
            </w:pPr>
            <w:r>
              <w:rPr>
                <w:rFonts w:ascii="Arial" w:eastAsia="Arial" w:hAnsi="Arial" w:cs="Arial"/>
                <w:b/>
              </w:rPr>
              <w:t>$0</w:t>
            </w:r>
          </w:p>
        </w:tc>
      </w:tr>
      <w:tr w:rsidTr="002E2502">
        <w:tblPrEx>
          <w:tblW w:w="0" w:type="auto"/>
          <w:tblInd w:w="360" w:type="dxa"/>
          <w:tblCellMar>
            <w:left w:w="0" w:type="dxa"/>
            <w:right w:w="0" w:type="dxa"/>
          </w:tblCellMar>
          <w:tblLook w:val="04A0"/>
        </w:tblPrEx>
        <w:tc>
          <w:tcPr>
            <w:tcW w:w="5069" w:type="dxa"/>
          </w:tcPr>
          <w:p w:rsidR="00E2708A" w:rsidP="002E2502">
            <w:pPr>
              <w:rPr>
                <w:rFonts w:ascii="Arial" w:eastAsia="Arial" w:hAnsi="Arial" w:cs="Arial"/>
              </w:rPr>
            </w:pPr>
            <w:r>
              <w:rPr>
                <w:rFonts w:ascii="Arial" w:eastAsia="Arial" w:hAnsi="Arial" w:cs="Arial"/>
              </w:rPr>
              <w:t xml:space="preserve"> </w:t>
            </w:r>
          </w:p>
        </w:tc>
        <w:tc>
          <w:tcPr>
            <w:tcW w:w="1469" w:type="dxa"/>
          </w:tcPr>
          <w:p w:rsidR="00E2708A" w:rsidP="002E2502">
            <w:pPr>
              <w:jc w:val="right"/>
              <w:rPr>
                <w:rFonts w:ascii="Arial" w:eastAsia="Arial" w:hAnsi="Arial" w:cs="Arial"/>
              </w:rPr>
            </w:pPr>
            <w:r>
              <w:rPr>
                <w:rFonts w:ascii="Arial" w:eastAsia="Arial" w:hAnsi="Arial" w:cs="Arial"/>
              </w:rPr>
              <w:t>__________</w:t>
            </w:r>
          </w:p>
        </w:tc>
        <w:tc>
          <w:tcPr>
            <w:tcW w:w="1469" w:type="dxa"/>
          </w:tcPr>
          <w:p w:rsidR="00E2708A" w:rsidP="002E2502">
            <w:pPr>
              <w:jc w:val="right"/>
              <w:rPr>
                <w:rFonts w:ascii="Arial" w:eastAsia="Arial" w:hAnsi="Arial" w:cs="Arial"/>
              </w:rPr>
            </w:pPr>
            <w:r>
              <w:rPr>
                <w:rFonts w:ascii="Arial" w:eastAsia="Arial" w:hAnsi="Arial" w:cs="Arial"/>
              </w:rPr>
              <w:t>__________</w:t>
            </w:r>
          </w:p>
        </w:tc>
      </w:tr>
      <w:tr w:rsidTr="002E2502">
        <w:tblPrEx>
          <w:tblW w:w="0" w:type="auto"/>
          <w:tblInd w:w="360" w:type="dxa"/>
          <w:tblCellMar>
            <w:left w:w="0" w:type="dxa"/>
            <w:right w:w="0" w:type="dxa"/>
          </w:tblCellMar>
          <w:tblLook w:val="04A0"/>
        </w:tblPrEx>
        <w:tc>
          <w:tcPr>
            <w:tcW w:w="5069" w:type="dxa"/>
          </w:tcPr>
          <w:p w:rsidR="00E2708A" w:rsidP="002E2502">
            <w:pPr>
              <w:rPr>
                <w:rFonts w:ascii="Arial" w:eastAsia="Arial" w:hAnsi="Arial" w:cs="Arial"/>
              </w:rPr>
            </w:pPr>
            <w:r>
              <w:rPr>
                <w:rFonts w:ascii="Arial" w:eastAsia="Arial" w:hAnsi="Arial" w:cs="Arial"/>
                <w:b/>
              </w:rPr>
              <w:t>DEPARTMENT TOTAL - ALL FUNDS</w:t>
            </w:r>
          </w:p>
        </w:tc>
        <w:tc>
          <w:tcPr>
            <w:tcW w:w="1469" w:type="dxa"/>
          </w:tcPr>
          <w:p w:rsidR="00E2708A" w:rsidP="002E2502">
            <w:pPr>
              <w:jc w:val="right"/>
              <w:rPr>
                <w:rFonts w:ascii="Arial" w:eastAsia="Arial" w:hAnsi="Arial" w:cs="Arial"/>
              </w:rPr>
            </w:pPr>
            <w:r>
              <w:rPr>
                <w:rFonts w:ascii="Arial" w:eastAsia="Arial" w:hAnsi="Arial" w:cs="Arial"/>
                <w:b/>
              </w:rPr>
              <w:t>$15,050,000</w:t>
            </w:r>
          </w:p>
        </w:tc>
        <w:tc>
          <w:tcPr>
            <w:tcW w:w="1469" w:type="dxa"/>
          </w:tcPr>
          <w:p w:rsidR="00E2708A" w:rsidP="002E2502">
            <w:pPr>
              <w:jc w:val="right"/>
              <w:rPr>
                <w:rFonts w:ascii="Arial" w:eastAsia="Arial" w:hAnsi="Arial" w:cs="Arial"/>
              </w:rPr>
            </w:pPr>
            <w:r>
              <w:rPr>
                <w:rFonts w:ascii="Arial" w:eastAsia="Arial" w:hAnsi="Arial" w:cs="Arial"/>
                <w:b/>
              </w:rPr>
              <w:t>$0</w:t>
            </w:r>
          </w:p>
        </w:tc>
      </w:tr>
    </w:tbl>
    <w:p w:rsidR="00000000" w:rsidP="00E2708A">
      <w:pPr>
        <w:ind w:left="360" w:firstLine="360"/>
        <w:rPr>
          <w:rFonts w:ascii="Arial" w:eastAsia="Arial" w:hAnsi="Arial" w:cs="Arial"/>
        </w:rPr>
      </w:pPr>
      <w:bookmarkStart w:id="14" w:name="_EMERGENCY_CLAUSE__08fd3ae4_1e77_4925_86"/>
      <w:bookmarkStart w:id="15" w:name="_INSTRUCTION__9e940fd7_75c9_48c2_8745_39"/>
      <w:bookmarkEnd w:id="7"/>
      <w:bookmarkEnd w:id="8"/>
      <w:bookmarkEnd w:id="12"/>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4"/>
      <w:bookmarkEnd w:id="1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LR1194,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Fully Reimburse Municipalities for Lost Revenue Under the Property Tax Stabilization for Senior Citizens Program</w:t>
    </w:r>
  </w:p>
  <w:p>
    <w:pPr>
      <w:suppressLineNumbers/>
      <w:spacing w:before="0" w:after="0"/>
      <w:jc w:val="center"/>
      <w:rPr>
        <w:rFonts w:ascii="Arial" w:eastAsia="Arial" w:hAnsi="Arial" w:cs="Arial"/>
      </w:rPr>
    </w:pPr>
    <w:r>
      <w:rPr>
        <w:rFonts w:ascii="Arial" w:eastAsia="Arial" w:hAnsi="Arial" w:cs="Arial"/>
        <w:sz w:val="22"/>
      </w:rPr>
      <w:t>L.D. 646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D5336"/>
    <w:rsid w:val="001E1D8B"/>
    <w:rsid w:val="00257B1E"/>
    <w:rsid w:val="002A3C2A"/>
    <w:rsid w:val="002A3D55"/>
    <w:rsid w:val="002D357F"/>
    <w:rsid w:val="002E2502"/>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2708A"/>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