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An Act to Promote the Use of Free Annual Wellness Visits by Ensuring Proper Disclosure</w:t>
      </w:r>
    </w:p>
    <w:p>
      <w:pPr>
        <w:spacing w:before="100" w:after="100" w:line="360" w:lineRule="auto"/>
        <w:ind w:left="360"/>
        <w:jc w:val="both"/>
        <w:rPr>
          <w:rFonts w:ascii="Arial" w:eastAsia="Arial" w:hAnsi="Arial" w:cs="Arial"/>
          <w:b/>
          <w:szCs w:val="20"/>
        </w:rPr>
      </w:pP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STATE OF MAINE</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IN THE YEAR OF OUR LORD</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Two Thousand Twenty-three</w:t>
      </w:r>
    </w:p>
    <w:p>
      <w:pPr>
        <w:keepNext/>
        <w:spacing w:before="100" w:after="100" w:line="24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spacing w:after="100" w:line="360" w:lineRule="auto"/>
        <w:ind w:left="360"/>
        <w:jc w:val="center"/>
        <w:rPr>
          <w:rFonts w:ascii="Arial" w:eastAsia="Arial" w:hAnsi="Arial" w:cs="Arial"/>
          <w:b/>
          <w:caps/>
          <w:sz w:val="24"/>
          <w:szCs w:val="20"/>
        </w:rPr>
      </w:pPr>
      <w:r>
        <w:rPr>
          <w:rFonts w:ascii="Arial" w:eastAsia="Arial" w:hAnsi="Arial" w:cs="Arial"/>
          <w:b/>
          <w:caps/>
          <w:sz w:val="24"/>
          <w:szCs w:val="20"/>
        </w:rPr>
        <w:t>H.P. 414 - L.D. 637</w:t>
      </w:r>
    </w:p>
    <w:p>
      <w:pPr>
        <w:spacing w:before="240" w:after="240" w:line="240" w:lineRule="auto"/>
        <w:ind w:left="360"/>
        <w:jc w:val="center"/>
        <w:rPr>
          <w:rFonts w:ascii="Arial" w:eastAsia="Arial" w:hAnsi="Arial" w:cs="Arial"/>
          <w:b/>
          <w:bCs/>
          <w:kern w:val="28"/>
          <w:sz w:val="24"/>
          <w:szCs w:val="32"/>
        </w:rPr>
      </w:pPr>
      <w:r>
        <w:rPr>
          <w:rFonts w:ascii="Arial" w:eastAsia="Arial" w:hAnsi="Arial" w:cs="Arial"/>
          <w:b/>
          <w:bCs/>
          <w:kern w:val="28"/>
          <w:sz w:val="24"/>
          <w:szCs w:val="32"/>
        </w:rPr>
        <w:t>An Act to Promote the Use of Free Annual Wellness Visits by Ensuring Proper Disclosure</w:t>
      </w:r>
    </w:p>
    <w:p w:rsidR="004B0453" w:rsidP="004B0453">
      <w:pPr>
        <w:ind w:left="360"/>
        <w:rPr>
          <w:rFonts w:ascii="Arial" w:eastAsia="Arial" w:hAnsi="Arial" w:cs="Arial"/>
        </w:rPr>
      </w:pPr>
      <w:bookmarkStart w:id="0" w:name="_ENACTING_CLAUSE__f771c9cd_40c7_42fe_aea"/>
      <w:bookmarkStart w:id="1" w:name="_PAR__1_e27e7781_6c01_4713_aed0_2c7c4277"/>
      <w:bookmarkStart w:id="2" w:name="_DOC_BODY_CONTAINER__de60e33c_f984_4742_"/>
      <w:r>
        <w:rPr>
          <w:rFonts w:ascii="Arial" w:eastAsia="Arial" w:hAnsi="Arial" w:cs="Arial"/>
          <w:b/>
        </w:rPr>
        <w:t>Be it enacted by the People of the State of Maine as follows:</w:t>
      </w:r>
    </w:p>
    <w:p w:rsidR="004B0453" w:rsidP="004B0453">
      <w:pPr>
        <w:ind w:left="360" w:firstLine="360"/>
        <w:rPr>
          <w:rFonts w:ascii="Arial" w:eastAsia="Arial" w:hAnsi="Arial" w:cs="Arial"/>
        </w:rPr>
      </w:pPr>
      <w:bookmarkStart w:id="3" w:name="_BILL_SECTION_HEADER__e9222e48_8311_412e"/>
      <w:bookmarkStart w:id="4" w:name="_BILL_SECTION__5a4d23de_7eb8_48cc_a7b3_6"/>
      <w:bookmarkStart w:id="5" w:name="_INSTRUCTION__e41595bf_b7ce_4647_93f4_0e"/>
      <w:bookmarkStart w:id="6" w:name="_DOC_BODY_CONTENT__c766d140_b1a2_4e64_b5"/>
      <w:bookmarkEnd w:id="0"/>
      <w:bookmarkEnd w:id="1"/>
      <w:r>
        <w:rPr>
          <w:rFonts w:ascii="Arial" w:eastAsia="Arial" w:hAnsi="Arial" w:cs="Arial"/>
          <w:b/>
          <w:sz w:val="24"/>
        </w:rPr>
        <w:t xml:space="preserve">Sec. </w:t>
      </w:r>
      <w:bookmarkStart w:id="7" w:name="_BILL_SECTION_NUMBER__6bd13501_6831_4a78"/>
      <w:r>
        <w:rPr>
          <w:rFonts w:ascii="Arial" w:eastAsia="Arial" w:hAnsi="Arial" w:cs="Arial"/>
          <w:b/>
          <w:sz w:val="24"/>
        </w:rPr>
        <w:t>1</w:t>
      </w:r>
      <w:bookmarkEnd w:id="7"/>
      <w:r>
        <w:rPr>
          <w:rFonts w:ascii="Arial" w:eastAsia="Arial" w:hAnsi="Arial" w:cs="Arial"/>
          <w:b/>
          <w:sz w:val="24"/>
        </w:rPr>
        <w:t>.  22 MRSA §1718-H</w:t>
      </w:r>
      <w:r>
        <w:rPr>
          <w:rFonts w:ascii="Arial" w:eastAsia="Arial" w:hAnsi="Arial" w:cs="Arial"/>
        </w:rPr>
        <w:t xml:space="preserve"> is enacted to read:</w:t>
      </w:r>
    </w:p>
    <w:p w:rsidR="004B0453" w:rsidP="004B0453">
      <w:pPr>
        <w:ind w:left="1080" w:hanging="720"/>
        <w:rPr>
          <w:rFonts w:ascii="Arial" w:eastAsia="Arial" w:hAnsi="Arial" w:cs="Arial"/>
          <w:b/>
        </w:rPr>
      </w:pPr>
      <w:bookmarkStart w:id="8" w:name="_REV__f3c918fb_1d03_4e4f_98bb_1c59d4e831"/>
      <w:bookmarkStart w:id="9" w:name="_STATUTE_S__a7eb66b2_4de2_47ad_b232_908c"/>
      <w:bookmarkStart w:id="10" w:name="_PROCESSED_CHANGE__6c2f57ce_c8e2_480e_bc"/>
      <w:bookmarkStart w:id="11" w:name="_PROCESSED_CHANGE__496c0f17_81e0_493e_b0"/>
      <w:bookmarkStart w:id="12" w:name="_PROCESSED_CHANGE__02c10a52_08a0_470a_8a"/>
      <w:bookmarkStart w:id="13" w:name="_PROCESSED_CHANGE__dad69e9a_84cb_46aa_96"/>
      <w:bookmarkEnd w:id="3"/>
      <w:r>
        <w:rPr>
          <w:rFonts w:ascii="Arial" w:eastAsia="Arial" w:hAnsi="Arial" w:cs="Arial"/>
          <w:b/>
          <w:u w:val="single"/>
        </w:rPr>
        <w:t>§</w:t>
      </w:r>
      <w:bookmarkStart w:id="14" w:name="_STATUTE_NUMBER__de0c8d6d_d5bf_44cf_9da7"/>
      <w:r>
        <w:rPr>
          <w:rFonts w:ascii="Arial" w:eastAsia="Arial" w:hAnsi="Arial" w:cs="Arial"/>
          <w:b/>
          <w:u w:val="single"/>
        </w:rPr>
        <w:t>1718-H</w:t>
      </w:r>
      <w:bookmarkEnd w:id="14"/>
      <w:r>
        <w:rPr>
          <w:rFonts w:ascii="Arial" w:eastAsia="Arial" w:hAnsi="Arial" w:cs="Arial"/>
          <w:b/>
          <w:u w:val="single"/>
        </w:rPr>
        <w:t xml:space="preserve">.  </w:t>
      </w:r>
      <w:bookmarkStart w:id="15" w:name="_STATUTE_HEADNOTE__f4b83065_868a_4788_99"/>
      <w:r>
        <w:rPr>
          <w:rFonts w:ascii="Arial" w:eastAsia="Arial" w:hAnsi="Arial" w:cs="Arial"/>
          <w:b/>
          <w:u w:val="single"/>
        </w:rPr>
        <w:t>Disclosure related to annual wellness visit</w:t>
      </w:r>
      <w:bookmarkEnd w:id="15"/>
    </w:p>
    <w:p w:rsidR="004B0453" w:rsidP="004B0453">
      <w:pPr>
        <w:ind w:left="360" w:firstLine="360"/>
        <w:rPr>
          <w:rFonts w:ascii="Arial" w:eastAsia="Arial" w:hAnsi="Arial" w:cs="Arial"/>
        </w:rPr>
      </w:pPr>
      <w:bookmarkStart w:id="16" w:name="_STATUTE_CONTENT__472e3645_de58_4dd1_93e"/>
      <w:bookmarkStart w:id="17" w:name="_STATUTE_P__a7b2eadd_ed3d_423b_bdd8_baf0"/>
      <w:bookmarkStart w:id="18" w:name="_REV__fa1b409c_4497_485d_a15c_da0d139ce3"/>
      <w:bookmarkEnd w:id="8"/>
      <w:r>
        <w:rPr>
          <w:rFonts w:ascii="Arial" w:eastAsia="Arial" w:hAnsi="Arial" w:cs="Arial"/>
          <w:u w:val="single"/>
        </w:rPr>
        <w:t>A health care entity, as defined in section 1718</w:t>
      </w:r>
      <w:r>
        <w:rPr>
          <w:rFonts w:ascii="Arial" w:eastAsia="Arial" w:hAnsi="Arial" w:cs="Arial"/>
          <w:u w:val="single"/>
        </w:rPr>
        <w:t>-</w:t>
      </w:r>
      <w:r>
        <w:rPr>
          <w:rFonts w:ascii="Arial" w:eastAsia="Arial" w:hAnsi="Arial" w:cs="Arial"/>
          <w:u w:val="single"/>
        </w:rPr>
        <w:t>B, subsection 1, paragraph B, at the time of an annual wellness visit by a</w:t>
      </w:r>
      <w:r>
        <w:rPr>
          <w:rFonts w:ascii="Arial" w:eastAsia="Arial" w:hAnsi="Arial" w:cs="Arial"/>
          <w:u w:val="single"/>
        </w:rPr>
        <w:t>n insured</w:t>
      </w:r>
      <w:r>
        <w:rPr>
          <w:rFonts w:ascii="Arial" w:eastAsia="Arial" w:hAnsi="Arial" w:cs="Arial"/>
          <w:u w:val="single"/>
        </w:rPr>
        <w:t xml:space="preserve"> patient, shall disclose to </w:t>
      </w:r>
      <w:r>
        <w:rPr>
          <w:rFonts w:ascii="Arial" w:eastAsia="Arial" w:hAnsi="Arial" w:cs="Arial"/>
          <w:u w:val="single"/>
        </w:rPr>
        <w:t>the</w:t>
      </w:r>
      <w:r>
        <w:rPr>
          <w:rFonts w:ascii="Arial" w:eastAsia="Arial" w:hAnsi="Arial" w:cs="Arial"/>
          <w:u w:val="single"/>
        </w:rPr>
        <w:t xml:space="preserve"> patient that not all services provided during the course of an annual wellness visit may be covered as preventive services without any out-of-pocket costs to the patient by the patient</w:t>
      </w:r>
      <w:r>
        <w:rPr>
          <w:rFonts w:ascii="Arial" w:eastAsia="Arial" w:hAnsi="Arial" w:cs="Arial"/>
          <w:u w:val="single"/>
        </w:rPr>
        <w:t>'</w:t>
      </w:r>
      <w:r>
        <w:rPr>
          <w:rFonts w:ascii="Arial" w:eastAsia="Arial" w:hAnsi="Arial" w:cs="Arial"/>
          <w:u w:val="single"/>
        </w:rPr>
        <w:t xml:space="preserve">s health </w:t>
      </w:r>
      <w:r>
        <w:rPr>
          <w:rFonts w:ascii="Arial" w:eastAsia="Arial" w:hAnsi="Arial" w:cs="Arial"/>
          <w:u w:val="single"/>
        </w:rPr>
        <w:t>plan</w:t>
      </w:r>
      <w:r>
        <w:rPr>
          <w:rFonts w:ascii="Arial" w:eastAsia="Arial" w:hAnsi="Arial" w:cs="Arial"/>
          <w:u w:val="single"/>
        </w:rPr>
        <w:t>, as defined in Title 24-A, section 4301-A, subsection 7, and that, if the patient has questions about the scope of covered services under the patient</w:t>
      </w:r>
      <w:r>
        <w:rPr>
          <w:rFonts w:ascii="Arial" w:eastAsia="Arial" w:hAnsi="Arial" w:cs="Arial"/>
          <w:u w:val="single"/>
        </w:rPr>
        <w:t>'</w:t>
      </w:r>
      <w:r>
        <w:rPr>
          <w:rFonts w:ascii="Arial" w:eastAsia="Arial" w:hAnsi="Arial" w:cs="Arial"/>
          <w:u w:val="single"/>
        </w:rPr>
        <w:t>s health plan, the patient should contact the patient’s health insurance carrier.</w:t>
      </w:r>
    </w:p>
    <w:p w:rsidR="004B0453" w:rsidP="004B0453">
      <w:pPr>
        <w:ind w:left="360" w:firstLine="360"/>
        <w:rPr>
          <w:rFonts w:ascii="Arial" w:eastAsia="Arial" w:hAnsi="Arial" w:cs="Arial"/>
        </w:rPr>
      </w:pPr>
      <w:bookmarkStart w:id="19" w:name="_BILL_SECTION_HEADER__f5582fa5_0fd5_420f"/>
      <w:bookmarkStart w:id="20" w:name="_BILL_SECTION__c3493988_86e3_4431_87b5_f"/>
      <w:bookmarkEnd w:id="4"/>
      <w:bookmarkEnd w:id="9"/>
      <w:bookmarkEnd w:id="10"/>
      <w:bookmarkEnd w:id="11"/>
      <w:bookmarkEnd w:id="12"/>
      <w:bookmarkEnd w:id="13"/>
      <w:bookmarkEnd w:id="16"/>
      <w:bookmarkEnd w:id="17"/>
      <w:bookmarkEnd w:id="18"/>
      <w:r>
        <w:rPr>
          <w:rFonts w:ascii="Arial" w:eastAsia="Arial" w:hAnsi="Arial" w:cs="Arial"/>
          <w:b/>
          <w:sz w:val="24"/>
        </w:rPr>
        <w:t xml:space="preserve">Sec. </w:t>
      </w:r>
      <w:bookmarkStart w:id="21" w:name="_BILL_SECTION_NUMBER__e57a7efd_8f82_4287"/>
      <w:r>
        <w:rPr>
          <w:rFonts w:ascii="Arial" w:eastAsia="Arial" w:hAnsi="Arial" w:cs="Arial"/>
          <w:b/>
          <w:sz w:val="24"/>
        </w:rPr>
        <w:t>2</w:t>
      </w:r>
      <w:bookmarkEnd w:id="21"/>
      <w:r>
        <w:rPr>
          <w:rFonts w:ascii="Arial" w:eastAsia="Arial" w:hAnsi="Arial" w:cs="Arial"/>
          <w:b/>
          <w:sz w:val="24"/>
        </w:rPr>
        <w:t>.  24-A MRSA §4303, sub-§15,</w:t>
      </w:r>
      <w:r>
        <w:rPr>
          <w:rFonts w:ascii="Arial" w:eastAsia="Arial" w:hAnsi="Arial" w:cs="Arial"/>
        </w:rPr>
        <w:t xml:space="preserve"> as enacted by PL 2011, c. 364, §26, is amended to read:</w:t>
      </w:r>
    </w:p>
    <w:p w:rsidR="004B0453" w:rsidP="004B0453">
      <w:pPr>
        <w:ind w:left="360" w:firstLine="360"/>
        <w:rPr>
          <w:rFonts w:ascii="Arial" w:eastAsia="Arial" w:hAnsi="Arial" w:cs="Arial"/>
        </w:rPr>
      </w:pPr>
      <w:bookmarkStart w:id="22" w:name="_STATUTE_NUMBER__b9857cd7_7564_4654_b692"/>
      <w:bookmarkStart w:id="23" w:name="_STATUTE_SS__c40c0980_9b9f_4085_8650_333"/>
      <w:bookmarkEnd w:id="19"/>
      <w:r>
        <w:rPr>
          <w:rFonts w:ascii="Arial" w:eastAsia="Arial" w:hAnsi="Arial" w:cs="Arial"/>
          <w:b/>
        </w:rPr>
        <w:t>15</w:t>
      </w:r>
      <w:bookmarkEnd w:id="22"/>
      <w:r>
        <w:rPr>
          <w:rFonts w:ascii="Arial" w:eastAsia="Arial" w:hAnsi="Arial" w:cs="Arial"/>
          <w:b/>
        </w:rPr>
        <w:t xml:space="preserve">.  </w:t>
      </w:r>
      <w:bookmarkStart w:id="24" w:name="_STATUTE_HEADNOTE__1077b085_ff62_4668_9a"/>
      <w:r>
        <w:rPr>
          <w:rFonts w:ascii="Arial" w:eastAsia="Arial" w:hAnsi="Arial" w:cs="Arial"/>
          <w:b/>
        </w:rPr>
        <w:t>Uniform explanation of coverage documents and standardized definitions.</w:t>
      </w:r>
      <w:bookmarkEnd w:id="24"/>
      <w:r>
        <w:rPr>
          <w:rFonts w:ascii="Arial" w:eastAsia="Arial" w:hAnsi="Arial" w:cs="Arial"/>
          <w:b/>
        </w:rPr>
        <w:t xml:space="preserve"> </w:t>
      </w:r>
      <w:r>
        <w:rPr>
          <w:rFonts w:ascii="Arial" w:eastAsia="Arial" w:hAnsi="Arial" w:cs="Arial"/>
        </w:rPr>
        <w:t xml:space="preserve"> </w:t>
      </w:r>
      <w:bookmarkStart w:id="25" w:name="_STATUTE_CONTENT__a668474b_286b_41d4_a9d"/>
      <w:r>
        <w:rPr>
          <w:rFonts w:ascii="Arial" w:eastAsia="Arial" w:hAnsi="Arial" w:cs="Arial"/>
        </w:rPr>
        <w:t>A carrier offering a health plan in this State shall:</w:t>
      </w:r>
      <w:bookmarkEnd w:id="25"/>
    </w:p>
    <w:p w:rsidR="004B0453" w:rsidP="004B0453">
      <w:pPr>
        <w:ind w:left="720"/>
        <w:rPr>
          <w:rFonts w:ascii="Arial" w:eastAsia="Arial" w:hAnsi="Arial" w:cs="Arial"/>
        </w:rPr>
      </w:pPr>
      <w:bookmarkStart w:id="26" w:name="_STATUTE_NUMBER__7c1d4dde_ba65_4fb6_8387"/>
      <w:bookmarkStart w:id="27" w:name="_STATUTE_P__8cf72590_e94c_45f8_9eef_8444"/>
      <w:r>
        <w:rPr>
          <w:rFonts w:ascii="Arial" w:eastAsia="Arial" w:hAnsi="Arial" w:cs="Arial"/>
        </w:rPr>
        <w:t>A</w:t>
      </w:r>
      <w:bookmarkEnd w:id="26"/>
      <w:r>
        <w:rPr>
          <w:rFonts w:ascii="Arial" w:eastAsia="Arial" w:hAnsi="Arial" w:cs="Arial"/>
        </w:rPr>
        <w:t xml:space="preserve">.  </w:t>
      </w:r>
      <w:bookmarkStart w:id="28" w:name="_STATUTE_CONTENT__e146a664_92e2_4ce1_908"/>
      <w:r>
        <w:rPr>
          <w:rFonts w:ascii="Arial" w:eastAsia="Arial" w:hAnsi="Arial" w:cs="Arial"/>
        </w:rPr>
        <w:t xml:space="preserve">Provide to applicants, enrollees and policyholders or certificate holders a summary of benefits and an explanation of coverage that accurately describe the benefits and coverage under the applicable plan or coverage. A summary of benefits and an explanation of coverage must conform with the requirements of the federal Affordable Care Act; </w:t>
      </w:r>
      <w:bookmarkStart w:id="29" w:name="_REV__782c739d_2796_4d08_ab25_5075179300"/>
      <w:bookmarkStart w:id="30" w:name="_PROCESSED_CHANGE__de4c604c_942d_4fa8_8f"/>
      <w:bookmarkStart w:id="31" w:name="_PROCESSED_CHANGE__5df3bfe9_c506_4a63_80"/>
      <w:bookmarkStart w:id="32" w:name="_PROCESSED_CHANGE__3bd132db_8ad1_4828_a5"/>
      <w:bookmarkStart w:id="33" w:name="_PROCESSED_CHANGE__e992cde7_a0ff_4415_91"/>
      <w:r>
        <w:rPr>
          <w:rFonts w:ascii="Arial" w:eastAsia="Arial" w:hAnsi="Arial" w:cs="Arial"/>
          <w:strike/>
        </w:rPr>
        <w:t>and</w:t>
      </w:r>
      <w:bookmarkEnd w:id="28"/>
      <w:bookmarkEnd w:id="29"/>
      <w:bookmarkEnd w:id="30"/>
      <w:bookmarkEnd w:id="31"/>
      <w:bookmarkEnd w:id="32"/>
      <w:bookmarkEnd w:id="33"/>
    </w:p>
    <w:p w:rsidR="004B0453" w:rsidP="004B0453">
      <w:pPr>
        <w:ind w:left="720"/>
        <w:rPr>
          <w:rFonts w:ascii="Arial" w:eastAsia="Arial" w:hAnsi="Arial" w:cs="Arial"/>
        </w:rPr>
      </w:pPr>
      <w:bookmarkStart w:id="34" w:name="_STATUTE_NUMBER__409c1593_3574_4fa2_9d45"/>
      <w:bookmarkStart w:id="35" w:name="_STATUTE_P__7304b310_30e4_49d8_a2ac_4b31"/>
      <w:bookmarkEnd w:id="27"/>
      <w:r>
        <w:rPr>
          <w:rFonts w:ascii="Arial" w:eastAsia="Arial" w:hAnsi="Arial" w:cs="Arial"/>
        </w:rPr>
        <w:t>B</w:t>
      </w:r>
      <w:bookmarkEnd w:id="34"/>
      <w:r>
        <w:rPr>
          <w:rFonts w:ascii="Arial" w:eastAsia="Arial" w:hAnsi="Arial" w:cs="Arial"/>
        </w:rPr>
        <w:t xml:space="preserve">.  </w:t>
      </w:r>
      <w:bookmarkStart w:id="36" w:name="_STATUTE_CONTENT__2533f3fa_b826_49c8_bbc"/>
      <w:r>
        <w:rPr>
          <w:rFonts w:ascii="Arial" w:eastAsia="Arial" w:hAnsi="Arial" w:cs="Arial"/>
        </w:rPr>
        <w:t>Use standard definitions of insurance-related and medical-related terms in connection with health insurance coverage as required by the federal Affordable Care Act</w:t>
      </w:r>
      <w:bookmarkStart w:id="37" w:name="_REV__3bf6ef1b_ac49_4c97_90e5_51abe2733b"/>
      <w:bookmarkStart w:id="38" w:name="_PROCESSED_CHANGE__4c8677d0_e012_4904_a0"/>
      <w:bookmarkStart w:id="39" w:name="_PROCESSED_CHANGE__de821292_a798_46f5_be"/>
      <w:bookmarkStart w:id="40" w:name="_PROCESSED_CHANGE__62a2f9e7_2065_457b_a2"/>
      <w:bookmarkStart w:id="41" w:name="_PROCESSED_CHANGE__2749a5d0_2e10_47ab_97"/>
      <w:r>
        <w:rPr>
          <w:rFonts w:ascii="Arial" w:eastAsia="Arial" w:hAnsi="Arial" w:cs="Arial"/>
          <w:strike/>
        </w:rPr>
        <w:t>.</w:t>
      </w:r>
      <w:bookmarkStart w:id="42" w:name="_REV__7e126210_2bd1_411e_b09f_1443724d78"/>
      <w:bookmarkStart w:id="43" w:name="_PROCESSED_CHANGE__4a557c4e_ac9e_4c70_83"/>
      <w:bookmarkStart w:id="44" w:name="_PROCESSED_CHANGE__bd54e1e0_1c3b_49ed_91"/>
      <w:bookmarkStart w:id="45" w:name="_PROCESSED_CHANGE__d04d1179_c23d_442f_ac"/>
      <w:bookmarkStart w:id="46" w:name="_PROCESSED_CHANGE__c0dc4e76_6c2a_49ff_be"/>
      <w:bookmarkEnd w:id="37"/>
      <w:bookmarkEnd w:id="38"/>
      <w:bookmarkEnd w:id="39"/>
      <w:bookmarkEnd w:id="40"/>
      <w:bookmarkEnd w:id="41"/>
      <w:r>
        <w:rPr>
          <w:rFonts w:ascii="Arial" w:eastAsia="Arial" w:hAnsi="Arial" w:cs="Arial"/>
          <w:u w:val="single"/>
        </w:rPr>
        <w:t>; and</w:t>
      </w:r>
      <w:bookmarkEnd w:id="36"/>
      <w:bookmarkEnd w:id="42"/>
      <w:bookmarkEnd w:id="43"/>
      <w:bookmarkEnd w:id="44"/>
      <w:bookmarkEnd w:id="45"/>
      <w:bookmarkEnd w:id="46"/>
    </w:p>
    <w:p w:rsidR="004B0453" w:rsidP="004B0453">
      <w:pPr>
        <w:ind w:left="720"/>
        <w:rPr>
          <w:rFonts w:ascii="Arial" w:eastAsia="Arial" w:hAnsi="Arial" w:cs="Arial"/>
        </w:rPr>
      </w:pPr>
      <w:bookmarkStart w:id="47" w:name="_STATUTE_NUMBER__3cc79b50_6d20_4a5f_8ce1"/>
      <w:bookmarkStart w:id="48" w:name="_STATUTE_P__8b3cb932_6932_49e2_a848_2f4d"/>
      <w:bookmarkStart w:id="49" w:name="_REV__4f4fbf4d_c3c3_401c_8f28_25ed7db4fe"/>
      <w:bookmarkStart w:id="50" w:name="_PROCESSED_CHANGE__e3632dd3_ccf6_48a1_85"/>
      <w:bookmarkStart w:id="51" w:name="_PROCESSED_CHANGE__abaf4807_eb2a_459c_90"/>
      <w:bookmarkStart w:id="52" w:name="_PROCESSED_CHANGE__a7afb4d8_908f_4ae0_a0"/>
      <w:bookmarkStart w:id="53" w:name="_PROCESSED_CHANGE__dcc616c5_61b3_4b0c_8b"/>
      <w:bookmarkEnd w:id="35"/>
      <w:r>
        <w:rPr>
          <w:rFonts w:ascii="Arial" w:eastAsia="Arial" w:hAnsi="Arial" w:cs="Arial"/>
          <w:u w:val="single"/>
        </w:rPr>
        <w:t>C</w:t>
      </w:r>
      <w:bookmarkEnd w:id="47"/>
      <w:r>
        <w:rPr>
          <w:rFonts w:ascii="Arial" w:eastAsia="Arial" w:hAnsi="Arial" w:cs="Arial"/>
          <w:u w:val="single"/>
        </w:rPr>
        <w:t xml:space="preserve">.  </w:t>
      </w:r>
      <w:bookmarkStart w:id="54" w:name="_STATUTE_CONTENT__b4eeb28f_af32_4208_b93"/>
      <w:r>
        <w:rPr>
          <w:rFonts w:ascii="Arial" w:eastAsia="Arial" w:hAnsi="Arial" w:cs="Arial"/>
          <w:u w:val="single"/>
        </w:rPr>
        <w:t>Provide notice to enrollees and policyholders or certificate holders that preventive services are covered without cost</w:t>
      </w:r>
      <w:r>
        <w:rPr>
          <w:rFonts w:ascii="Arial" w:eastAsia="Arial" w:hAnsi="Arial" w:cs="Arial"/>
          <w:u w:val="single"/>
        </w:rPr>
        <w:t xml:space="preserve"> </w:t>
      </w:r>
      <w:r>
        <w:rPr>
          <w:rFonts w:ascii="Arial" w:eastAsia="Arial" w:hAnsi="Arial" w:cs="Arial"/>
          <w:u w:val="single"/>
        </w:rPr>
        <w:t>sharing as provided in section 4320-A, subsection 1, but services related to a specific health concern, condition or injury may be separately billed as an office visit and may be subject to cost</w:t>
      </w:r>
      <w:r>
        <w:rPr>
          <w:rFonts w:ascii="Arial" w:eastAsia="Arial" w:hAnsi="Arial" w:cs="Arial"/>
          <w:u w:val="single"/>
        </w:rPr>
        <w:t>-</w:t>
      </w:r>
      <w:r>
        <w:rPr>
          <w:rFonts w:ascii="Arial" w:eastAsia="Arial" w:hAnsi="Arial" w:cs="Arial"/>
          <w:u w:val="single"/>
        </w:rPr>
        <w:t>sharing requirements as provided in the health plan.</w:t>
      </w:r>
    </w:p>
    <w:p w:rsidR="00000000" w:rsidP="004B0453">
      <w:pPr>
        <w:ind w:left="360" w:firstLine="360"/>
        <w:rPr>
          <w:rFonts w:ascii="Arial" w:eastAsia="Arial" w:hAnsi="Arial" w:cs="Arial"/>
        </w:rPr>
      </w:pPr>
      <w:bookmarkStart w:id="55" w:name="_BILL_SECTION_UNALLOCATED__7e255ac5_8bbd"/>
      <w:bookmarkEnd w:id="20"/>
      <w:bookmarkEnd w:id="23"/>
      <w:bookmarkEnd w:id="48"/>
      <w:bookmarkEnd w:id="49"/>
      <w:bookmarkEnd w:id="50"/>
      <w:bookmarkEnd w:id="51"/>
      <w:bookmarkEnd w:id="52"/>
      <w:bookmarkEnd w:id="53"/>
      <w:bookmarkEnd w:id="54"/>
      <w:r>
        <w:rPr>
          <w:rFonts w:ascii="Arial" w:eastAsia="Arial" w:hAnsi="Arial" w:cs="Arial"/>
          <w:b/>
          <w:sz w:val="24"/>
        </w:rPr>
        <w:t xml:space="preserve">Sec. </w:t>
      </w:r>
      <w:bookmarkStart w:id="56" w:name="_BILL_SECTION_NUMBER__7d5d88f2_5136_4747"/>
      <w:r>
        <w:rPr>
          <w:rFonts w:ascii="Arial" w:eastAsia="Arial" w:hAnsi="Arial" w:cs="Arial"/>
          <w:b/>
          <w:sz w:val="24"/>
        </w:rPr>
        <w:t>3</w:t>
      </w:r>
      <w:bookmarkEnd w:id="56"/>
      <w:r>
        <w:rPr>
          <w:rFonts w:ascii="Arial" w:eastAsia="Arial" w:hAnsi="Arial" w:cs="Arial"/>
          <w:b/>
          <w:sz w:val="24"/>
        </w:rPr>
        <w:t>.</w:t>
      </w:r>
      <w:r>
        <w:rPr>
          <w:rFonts w:ascii="Arial" w:eastAsia="Arial" w:hAnsi="Arial" w:cs="Arial"/>
        </w:rPr>
        <w:t xml:space="preserve">  </w:t>
      </w:r>
      <w:r w:rsidRPr="00034A2E">
        <w:rPr>
          <w:rFonts w:ascii="Arial" w:eastAsia="Arial" w:hAnsi="Arial" w:cs="Arial"/>
          <w:b/>
          <w:sz w:val="24"/>
          <w:szCs w:val="24"/>
        </w:rPr>
        <w:t>Application.</w:t>
      </w:r>
      <w:r w:rsidRPr="00034A2E">
        <w:rPr>
          <w:rFonts w:ascii="Arial" w:eastAsia="Arial" w:hAnsi="Arial" w:cs="Arial"/>
        </w:rPr>
        <w:t xml:space="preserve">  </w:t>
      </w:r>
      <w:r>
        <w:rPr>
          <w:rFonts w:ascii="Arial" w:eastAsia="Arial" w:hAnsi="Arial" w:cs="Arial"/>
        </w:rPr>
        <w:t>That section</w:t>
      </w:r>
      <w:r w:rsidRPr="00034A2E">
        <w:rPr>
          <w:rFonts w:ascii="Arial" w:eastAsia="Arial" w:hAnsi="Arial" w:cs="Arial"/>
        </w:rPr>
        <w:t xml:space="preserve"> of this Act that amend</w:t>
      </w:r>
      <w:r>
        <w:rPr>
          <w:rFonts w:ascii="Arial" w:eastAsia="Arial" w:hAnsi="Arial" w:cs="Arial"/>
        </w:rPr>
        <w:t>s the</w:t>
      </w:r>
      <w:r w:rsidRPr="00034A2E">
        <w:rPr>
          <w:rFonts w:ascii="Arial" w:eastAsia="Arial" w:hAnsi="Arial" w:cs="Arial"/>
        </w:rPr>
        <w:t xml:space="preserve"> Maine Revised Statutes, Title 24-A, section 4303, subsection 15 </w:t>
      </w:r>
      <w:r>
        <w:rPr>
          <w:rFonts w:ascii="Arial" w:eastAsia="Arial" w:hAnsi="Arial" w:cs="Arial"/>
        </w:rPr>
        <w:t>applies</w:t>
      </w:r>
      <w:r w:rsidRPr="00034A2E">
        <w:rPr>
          <w:rFonts w:ascii="Arial" w:eastAsia="Arial" w:hAnsi="Arial" w:cs="Arial"/>
        </w:rPr>
        <w:t xml:space="preserve"> to all policies, contracts and certificates executed, delivered, issued for delivery, continued or renewed in this State on or after January 1, 2024. For purposes of this Act, all policies, contracts and certificates are deemed to be renewed no later than the next yearly anniversary of the contract date.</w:t>
      </w:r>
      <w:bookmarkEnd w:id="2"/>
      <w:bookmarkEnd w:id="5"/>
      <w:bookmarkEnd w:id="6"/>
      <w:bookmarkEnd w:id="55"/>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LR1584, item 3 - 131st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131st Maine Legislature</w:t>
    </w:r>
  </w:p>
  <w:p>
    <w:pPr>
      <w:suppressLineNumbers/>
      <w:spacing w:before="0" w:after="0"/>
      <w:jc w:val="center"/>
      <w:rPr>
        <w:rFonts w:ascii="Arial" w:eastAsia="Arial" w:hAnsi="Arial" w:cs="Arial"/>
      </w:rPr>
    </w:pPr>
    <w:r>
      <w:rPr>
        <w:rFonts w:ascii="Arial" w:eastAsia="Arial" w:hAnsi="Arial" w:cs="Arial"/>
        <w:sz w:val="22"/>
      </w:rPr>
      <w:t>An Act to Promote the Use of Free Annual Wellness Visits by Ensuring Proper Disclosure</w:t>
    </w:r>
  </w:p>
  <w:p>
    <w:pPr>
      <w:suppressLineNumbers/>
      <w:spacing w:before="0" w:after="0"/>
      <w:jc w:val="center"/>
      <w:rPr>
        <w:rFonts w:ascii="Arial" w:eastAsia="Arial" w:hAnsi="Arial" w:cs="Arial"/>
      </w:rPr>
    </w:pPr>
    <w:r>
      <w:rPr>
        <w:rFonts w:ascii="Arial" w:eastAsia="Arial" w:hAnsi="Arial" w:cs="Arial"/>
        <w:sz w:val="22"/>
      </w:rPr>
      <w:t>L.D. 637</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4A2E"/>
    <w:rsid w:val="000370CD"/>
    <w:rsid w:val="00063BAD"/>
    <w:rsid w:val="0011558B"/>
    <w:rsid w:val="00142693"/>
    <w:rsid w:val="00166945"/>
    <w:rsid w:val="001A2BC9"/>
    <w:rsid w:val="001E1D8B"/>
    <w:rsid w:val="00257B1E"/>
    <w:rsid w:val="002A3C2A"/>
    <w:rsid w:val="002A3D55"/>
    <w:rsid w:val="002D357F"/>
    <w:rsid w:val="00361F3E"/>
    <w:rsid w:val="003D0121"/>
    <w:rsid w:val="003F2563"/>
    <w:rsid w:val="003F315D"/>
    <w:rsid w:val="00417176"/>
    <w:rsid w:val="00424146"/>
    <w:rsid w:val="004A4378"/>
    <w:rsid w:val="004B0453"/>
    <w:rsid w:val="005500BF"/>
    <w:rsid w:val="005568B1"/>
    <w:rsid w:val="00564135"/>
    <w:rsid w:val="00574B75"/>
    <w:rsid w:val="00610E2A"/>
    <w:rsid w:val="00641982"/>
    <w:rsid w:val="006714D5"/>
    <w:rsid w:val="00695EDF"/>
    <w:rsid w:val="006D40C3"/>
    <w:rsid w:val="007D72C8"/>
    <w:rsid w:val="007F3B1E"/>
    <w:rsid w:val="00801F19"/>
    <w:rsid w:val="00806421"/>
    <w:rsid w:val="008A5943"/>
    <w:rsid w:val="0092322A"/>
    <w:rsid w:val="009367EC"/>
    <w:rsid w:val="0099722B"/>
    <w:rsid w:val="009B3D4F"/>
    <w:rsid w:val="009D6A0B"/>
    <w:rsid w:val="009E724F"/>
    <w:rsid w:val="009F6C9E"/>
    <w:rsid w:val="00A81643"/>
    <w:rsid w:val="00AA73FC"/>
    <w:rsid w:val="00B4353D"/>
    <w:rsid w:val="00B45FFB"/>
    <w:rsid w:val="00B5130C"/>
    <w:rsid w:val="00B97FEC"/>
    <w:rsid w:val="00BC0528"/>
    <w:rsid w:val="00BC3B30"/>
    <w:rsid w:val="00BE5DC0"/>
    <w:rsid w:val="00C6107B"/>
    <w:rsid w:val="00C61EAA"/>
    <w:rsid w:val="00CA163F"/>
    <w:rsid w:val="00D0498F"/>
    <w:rsid w:val="00D1557D"/>
    <w:rsid w:val="00D36E27"/>
    <w:rsid w:val="00D4369F"/>
    <w:rsid w:val="00D72A6C"/>
    <w:rsid w:val="00DA6742"/>
    <w:rsid w:val="00DD425A"/>
    <w:rsid w:val="00E10467"/>
    <w:rsid w:val="00E229C6"/>
    <w:rsid w:val="00E25AE4"/>
    <w:rsid w:val="00E325CC"/>
    <w:rsid w:val="00E370EF"/>
    <w:rsid w:val="00E67BCF"/>
    <w:rsid w:val="00E70594"/>
    <w:rsid w:val="00EB7291"/>
    <w:rsid w:val="00F23B45"/>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