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Study the Adoption of the Uniform Common Interest Ownership Act</w:t>
      </w:r>
    </w:p>
    <w:p w:rsidR="00F41860" w:rsidP="00F4186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ca2bdc3_16e6_4942_b96c_9b"/>
      <w:bookmarkStart w:id="1" w:name="_PAGE__1_20e3d077_bb22_4f87_8a56_1f4a39e"/>
      <w:bookmarkStart w:id="2" w:name="_PAR__2_13213f0f_ac05_47f0_9498_d4bb11a3"/>
      <w:r>
        <w:rPr>
          <w:rFonts w:ascii="Arial" w:eastAsia="Arial" w:hAnsi="Arial" w:cs="Arial"/>
          <w:caps/>
        </w:rPr>
        <w:t>L.D. 1662</w:t>
      </w:r>
    </w:p>
    <w:p w:rsidR="00F41860" w:rsidP="00F4186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5f888a1_fcf3_4da8_bc2a_557377d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F41860" w:rsidP="00F4186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6257124_1f06_4b37_aadd_fec0371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F41860" w:rsidP="00F41860">
      <w:pPr>
        <w:spacing w:before="60" w:after="60"/>
        <w:ind w:left="720"/>
        <w:rPr>
          <w:rFonts w:ascii="Arial" w:eastAsia="Arial" w:hAnsi="Arial" w:cs="Arial"/>
        </w:rPr>
      </w:pPr>
      <w:bookmarkStart w:id="5" w:name="_PAR__5_287851be_dbfe_4d47_bb74_c8fb4800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F41860" w:rsidP="00F4186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e6118be_6e87_4789_9ae4_d053b460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41860" w:rsidP="00F4186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8eb5cc8_5564_4dec_bbab_04eb0618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F41860" w:rsidP="00F4186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4fa72da_090d_4df3_bdd9_0a3b9e45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F41860" w:rsidP="00F4186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36e40c8_2d0f_42d1_b25d_149c5696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F41860" w:rsidP="00F4186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4453b9ce_e8ca_4e17_a356_340866c"/>
      <w:bookmarkEnd w:id="9"/>
      <w:r>
        <w:rPr>
          <w:rFonts w:ascii="Arial" w:eastAsia="Arial" w:hAnsi="Arial" w:cs="Arial"/>
          <w:szCs w:val="22"/>
        </w:rPr>
        <w:t>COMMITTEE AMENDMENT “      ” to S.P. 667, L.D. 1662, “Resolve, to Study the Adoption of the Uniform Common Interest Ownership Act”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11" w:name="_INSTRUCTION__928d420d_2642_4f1f_96f5_06"/>
      <w:bookmarkStart w:id="12" w:name="_PAR__11_9e6bc37d_1b19_4e0a_8752_b540162"/>
      <w:bookmarkEnd w:id="0"/>
      <w:bookmarkEnd w:id="10"/>
      <w:r>
        <w:rPr>
          <w:rFonts w:ascii="Arial" w:eastAsia="Arial" w:hAnsi="Arial" w:cs="Arial"/>
        </w:rPr>
        <w:t>Amend the resolve by striking out all of section 2 and inserting the following: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13" w:name="_PAR__12_c192ee53_24a7_44b8_aace_4210ef8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</w:t>
      </w:r>
      <w:r>
        <w:rPr>
          <w:rFonts w:ascii="Arial" w:eastAsia="Arial" w:hAnsi="Arial" w:cs="Arial"/>
        </w:rPr>
        <w:t xml:space="preserve"> </w:t>
      </w:r>
      <w:r w:rsidRPr="00FB3427">
        <w:rPr>
          <w:rFonts w:ascii="Arial" w:eastAsia="Arial" w:hAnsi="Arial" w:cs="Arial"/>
          <w:b/>
          <w:sz w:val="24"/>
          <w:szCs w:val="24"/>
        </w:rPr>
        <w:t>Commission membership.  Resolved:</w:t>
      </w:r>
      <w:r>
        <w:rPr>
          <w:rFonts w:ascii="Arial" w:eastAsia="Arial" w:hAnsi="Arial" w:cs="Arial"/>
        </w:rPr>
        <w:t xml:space="preserve">  That, notwithstanding Joint Rule 353, the commission consists of 12 members appointed as follows: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14" w:name="_PAR__13_a284941d_cd19_4932_adbc_ae94354"/>
      <w:bookmarkEnd w:id="13"/>
      <w:r>
        <w:rPr>
          <w:rFonts w:ascii="Arial" w:eastAsia="Arial" w:hAnsi="Arial" w:cs="Arial"/>
        </w:rPr>
        <w:t>1.  Two members of the Senate appointed by the President of the Senate, including one member from each of the 2 parties holding the largest number of seats in the Legislature;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15" w:name="_PAR__14_c0b24212_4585_4348_b890_80c8695"/>
      <w:bookmarkEnd w:id="14"/>
      <w:r>
        <w:rPr>
          <w:rFonts w:ascii="Arial" w:eastAsia="Arial" w:hAnsi="Arial" w:cs="Arial"/>
        </w:rPr>
        <w:t>2.  Three members of the House of Representatives appointed by the Speaker of the House, including at least one member from each of the 2 parties holding the largest number of seats in the Legislature;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16" w:name="_PAR__15_a3511a9e_a77a_4faf_a58c_c065186"/>
      <w:bookmarkEnd w:id="15"/>
      <w:r>
        <w:rPr>
          <w:rFonts w:ascii="Arial" w:eastAsia="Arial" w:hAnsi="Arial" w:cs="Arial"/>
        </w:rPr>
        <w:t>3.  Two members of the Maine State Bar Association with a substantial practice in condominium or community association law, one appointed by the President of the Senate and one appointed by the Speaker of the House;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17" w:name="_PAR__16_6c690cd8_1349_46c4_b3d4_07276b3"/>
      <w:bookmarkEnd w:id="16"/>
      <w:r>
        <w:rPr>
          <w:rFonts w:ascii="Arial" w:eastAsia="Arial" w:hAnsi="Arial" w:cs="Arial"/>
        </w:rPr>
        <w:t xml:space="preserve">4.  </w:t>
      </w:r>
      <w:r w:rsidRPr="00E40A50">
        <w:rPr>
          <w:rFonts w:ascii="Arial" w:eastAsia="Arial" w:hAnsi="Arial" w:cs="Arial"/>
        </w:rPr>
        <w:t xml:space="preserve"> One member representing the real estate development community, appointed by the President of the Senate;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18" w:name="_PAR__17_62c18467_ceef_4b41_bc66_26523b3"/>
      <w:bookmarkEnd w:id="17"/>
      <w:r>
        <w:rPr>
          <w:rFonts w:ascii="Arial" w:eastAsia="Arial" w:hAnsi="Arial" w:cs="Arial"/>
        </w:rPr>
        <w:t xml:space="preserve">5.  </w:t>
      </w:r>
      <w:r w:rsidRPr="00E40A50">
        <w:rPr>
          <w:rFonts w:ascii="Arial" w:eastAsia="Arial" w:hAnsi="Arial" w:cs="Arial"/>
        </w:rPr>
        <w:t xml:space="preserve">One member from an association representing municipalities in </w:t>
      </w:r>
      <w:r>
        <w:rPr>
          <w:rFonts w:ascii="Arial" w:eastAsia="Arial" w:hAnsi="Arial" w:cs="Arial"/>
        </w:rPr>
        <w:t>the State</w:t>
      </w:r>
      <w:r w:rsidRPr="00E40A50">
        <w:rPr>
          <w:rFonts w:ascii="Arial" w:eastAsia="Arial" w:hAnsi="Arial" w:cs="Arial"/>
        </w:rPr>
        <w:t>, appointed by the President of the Senate;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19" w:name="_PAR__18_869b3a64_032d_4bc8_835f_00f8f59"/>
      <w:bookmarkEnd w:id="18"/>
      <w:r>
        <w:rPr>
          <w:rFonts w:ascii="Arial" w:eastAsia="Arial" w:hAnsi="Arial" w:cs="Arial"/>
        </w:rPr>
        <w:t xml:space="preserve">6. </w:t>
      </w:r>
      <w:r w:rsidRPr="00E40A50">
        <w:rPr>
          <w:rFonts w:ascii="Arial" w:eastAsia="Arial" w:hAnsi="Arial" w:cs="Arial"/>
        </w:rPr>
        <w:t>One member representing the State's lending community, appointed by the Speaker of the House;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20" w:name="_PAR__19_5c1d48e7_6c6b_4a06_85b5_59e88e6"/>
      <w:bookmarkEnd w:id="19"/>
      <w:r>
        <w:rPr>
          <w:rFonts w:ascii="Arial" w:eastAsia="Arial" w:hAnsi="Arial" w:cs="Arial"/>
        </w:rPr>
        <w:t xml:space="preserve">7. </w:t>
      </w:r>
      <w:r w:rsidRPr="00E40A50">
        <w:rPr>
          <w:rFonts w:ascii="Arial" w:eastAsia="Arial" w:hAnsi="Arial" w:cs="Arial"/>
        </w:rPr>
        <w:t>One member representing unit owners or homeowners in community associations in the State, appointed by the Speaker of the House;</w:t>
      </w:r>
      <w:r>
        <w:rPr>
          <w:rFonts w:ascii="Arial" w:eastAsia="Arial" w:hAnsi="Arial" w:cs="Arial"/>
        </w:rPr>
        <w:t xml:space="preserve"> and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21" w:name="_PAR__20_14a4292e_43e2_4aa5_bb5e_0140e5b"/>
      <w:bookmarkEnd w:id="20"/>
      <w:r>
        <w:rPr>
          <w:rFonts w:ascii="Arial" w:eastAsia="Arial" w:hAnsi="Arial" w:cs="Arial"/>
        </w:rPr>
        <w:t>8. One member of the Commission on Uniform State Laws, as established by the Maine Revised Statutes, Title 5, section 12004-K, subsection 8, appointed by the Governor.'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22" w:name="_INSTRUCTION__b1422f39_3c56_4c5c_abb8_31"/>
      <w:bookmarkStart w:id="23" w:name="_PAR__21_1e3554f3_c140_40ea_a2ef_a669881"/>
      <w:bookmarkEnd w:id="11"/>
      <w:bookmarkEnd w:id="21"/>
      <w:r>
        <w:rPr>
          <w:rFonts w:ascii="Arial" w:eastAsia="Arial" w:hAnsi="Arial" w:cs="Arial"/>
        </w:rPr>
        <w:t>Amend the resolve by striking out all of section 3 and inserting the following: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24" w:name="_PAGE__2_2ed5ea83_5db5_4033_a38d_7ba5f79"/>
      <w:bookmarkStart w:id="25" w:name="_PAR__2_8202c036_1c78_4135_8067_a73308c8"/>
      <w:bookmarkEnd w:id="1"/>
      <w:bookmarkEnd w:id="23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</w:t>
      </w:r>
      <w:r>
        <w:rPr>
          <w:rFonts w:ascii="Arial" w:eastAsia="Arial" w:hAnsi="Arial" w:cs="Arial"/>
        </w:rPr>
        <w:t xml:space="preserve"> </w:t>
      </w:r>
      <w:r w:rsidRPr="00FB3427">
        <w:rPr>
          <w:rFonts w:ascii="Arial" w:eastAsia="Arial" w:hAnsi="Arial" w:cs="Arial"/>
          <w:b/>
          <w:sz w:val="24"/>
          <w:szCs w:val="24"/>
        </w:rPr>
        <w:t>Chairs.  Resolved:</w:t>
      </w:r>
      <w:r w:rsidRPr="00FB3427">
        <w:rPr>
          <w:rFonts w:ascii="Arial" w:eastAsia="Arial" w:hAnsi="Arial" w:cs="Arial"/>
        </w:rPr>
        <w:t xml:space="preserve">  That the first-named Senate member is the Senate chair and the first-named House of Representatives member is the House chair of the commission.</w:t>
      </w:r>
      <w:r>
        <w:rPr>
          <w:rFonts w:ascii="Arial" w:eastAsia="Arial" w:hAnsi="Arial" w:cs="Arial"/>
        </w:rPr>
        <w:t>'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26" w:name="_INSTRUCTION__093be0a8_489e_400d_b56c_dc"/>
      <w:bookmarkStart w:id="27" w:name="_PAR__3_daba7c23_9f65_4ff1_b0f6_f7d49ef8"/>
      <w:bookmarkEnd w:id="22"/>
      <w:bookmarkEnd w:id="25"/>
      <w:r>
        <w:rPr>
          <w:rFonts w:ascii="Arial" w:eastAsia="Arial" w:hAnsi="Arial" w:cs="Arial"/>
        </w:rPr>
        <w:t>Amend the resolve by striking out all of section 6 and inserting the following: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28" w:name="_PAR__4_c8a39e77_4b62_4607_9686_28c1b14d"/>
      <w:bookmarkEnd w:id="27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6.</w:t>
      </w:r>
      <w:r>
        <w:rPr>
          <w:rFonts w:ascii="Arial" w:eastAsia="Arial" w:hAnsi="Arial" w:cs="Arial"/>
        </w:rPr>
        <w:t xml:space="preserve"> </w:t>
      </w:r>
      <w:r w:rsidRPr="00FB3427">
        <w:rPr>
          <w:rFonts w:ascii="Arial" w:eastAsia="Arial" w:hAnsi="Arial" w:cs="Arial"/>
          <w:b/>
          <w:sz w:val="24"/>
          <w:szCs w:val="24"/>
        </w:rPr>
        <w:t>Staff assistance.  Resolved:</w:t>
      </w:r>
      <w:r w:rsidRPr="00FB3427">
        <w:rPr>
          <w:rFonts w:ascii="Arial" w:eastAsia="Arial" w:hAnsi="Arial" w:cs="Arial"/>
        </w:rPr>
        <w:t xml:space="preserve">  That the Legislative Council shall provide necessary staffing services to the commission, except that Legislative Council staff support is not authorized when the Legislature is in regular or special session.</w:t>
      </w:r>
      <w:r>
        <w:rPr>
          <w:rFonts w:ascii="Arial" w:eastAsia="Arial" w:hAnsi="Arial" w:cs="Arial"/>
        </w:rPr>
        <w:t>'</w:t>
      </w:r>
    </w:p>
    <w:p w:rsidR="00F41860" w:rsidP="00F41860">
      <w:pPr>
        <w:ind w:left="360" w:firstLine="360"/>
        <w:rPr>
          <w:rFonts w:ascii="Arial" w:eastAsia="Arial" w:hAnsi="Arial" w:cs="Arial"/>
        </w:rPr>
      </w:pPr>
      <w:bookmarkStart w:id="29" w:name="_INSTRUCTION__29da454b_6ebb_4121_846e_b8"/>
      <w:bookmarkStart w:id="30" w:name="_PAR__5_aacc3876_2b3e_4554_bba4_878885a2"/>
      <w:bookmarkEnd w:id="26"/>
      <w:bookmarkEnd w:id="28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F41860" w:rsidP="00F4186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" w:name="_SUMMARY__5d5274af_70e4_4bd5_83a4_3e7feb"/>
      <w:bookmarkStart w:id="32" w:name="_PAR__6_32272833_db59_4f79_9dbb_b21cd4d6"/>
      <w:bookmarkEnd w:id="29"/>
      <w:bookmarkEnd w:id="30"/>
      <w:r>
        <w:rPr>
          <w:rFonts w:ascii="Arial" w:eastAsia="Arial" w:hAnsi="Arial" w:cs="Arial"/>
          <w:b/>
          <w:sz w:val="24"/>
        </w:rPr>
        <w:t>SUMMARY</w:t>
      </w:r>
    </w:p>
    <w:p w:rsidR="00F41860" w:rsidP="00F41860">
      <w:pPr>
        <w:keepNext/>
        <w:ind w:left="360" w:firstLine="360"/>
        <w:rPr>
          <w:rFonts w:ascii="Arial" w:eastAsia="Arial" w:hAnsi="Arial" w:cs="Arial"/>
        </w:rPr>
      </w:pPr>
      <w:bookmarkStart w:id="33" w:name="_PAR__7_eee4db2d_bb9d_4dd0_8326_8b0a95df"/>
      <w:bookmarkEnd w:id="32"/>
      <w:r w:rsidRPr="00FB3427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is</w:t>
      </w:r>
      <w:r w:rsidRPr="00FB3427">
        <w:rPr>
          <w:rFonts w:ascii="Arial" w:eastAsia="Arial" w:hAnsi="Arial" w:cs="Arial"/>
        </w:rPr>
        <w:t xml:space="preserve"> amendment changes the membership of the Commission to Study the Need to Codify or Recodify Laws Regarding Noncondominium Community Associations</w:t>
      </w:r>
      <w:r>
        <w:rPr>
          <w:rFonts w:ascii="Arial" w:eastAsia="Arial" w:hAnsi="Arial" w:cs="Arial"/>
        </w:rPr>
        <w:t xml:space="preserve"> and makes associated changes</w:t>
      </w:r>
      <w:r w:rsidRPr="00FB3427">
        <w:rPr>
          <w:rFonts w:ascii="Arial" w:eastAsia="Arial" w:hAnsi="Arial" w:cs="Arial"/>
        </w:rPr>
        <w:t>.</w:t>
      </w:r>
    </w:p>
    <w:p w:rsidR="00F41860" w:rsidP="00F4186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4" w:name="_FISCAL_NOTE_REQUIRED__b1a406fa_2811_402"/>
      <w:bookmarkStart w:id="35" w:name="_PAR__8_0c74dc50_ddcf_4b7b_ada0_3a3cd804"/>
      <w:bookmarkEnd w:id="33"/>
      <w:r>
        <w:rPr>
          <w:rFonts w:ascii="Arial" w:eastAsia="Arial" w:hAnsi="Arial" w:cs="Arial"/>
          <w:b/>
        </w:rPr>
        <w:t>FISCAL NOTE REQUIRED</w:t>
      </w:r>
    </w:p>
    <w:p w:rsidR="00000000" w:rsidRPr="00F41860" w:rsidP="00F4186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6" w:name="_PAR__9_633b1c2b_fcde_446f_b9bc_be6c4cb2"/>
      <w:bookmarkEnd w:id="35"/>
      <w:r>
        <w:rPr>
          <w:rFonts w:ascii="Arial" w:eastAsia="Arial" w:hAnsi="Arial" w:cs="Arial"/>
          <w:b/>
        </w:rPr>
        <w:t>(See attached)</w:t>
      </w:r>
      <w:bookmarkEnd w:id="24"/>
      <w:bookmarkEnd w:id="31"/>
      <w:bookmarkEnd w:id="34"/>
      <w:bookmarkEnd w:id="3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LR0308,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Study the Adoption of the Uniform Common Interest Ownership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40A50"/>
    <w:rsid w:val="00E67BCF"/>
    <w:rsid w:val="00E70594"/>
    <w:rsid w:val="00EB7291"/>
    <w:rsid w:val="00F23B45"/>
    <w:rsid w:val="00F41860"/>
    <w:rsid w:val="00F93201"/>
    <w:rsid w:val="00FB3427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