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Chapter 34: Child Care Provider (Child Care Facilities and Family Child Care Providers) Background Check Licensing Rule, a Major Substantive Rule of the Department of Health and Human Services, Office of Child and Family Services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1375 - L.D. 1865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Chapter 34: Child Care Provider (Child Care Facilities and Family Child Care Providers) Background Check Licensing Rule, a Major Substantive Rule of the Department of Health and Human Services, Office of Child and Family Services</w:t>
      </w:r>
    </w:p>
    <w:p w:rsidR="00493DF5" w:rsidP="00493DF5">
      <w:pPr>
        <w:ind w:left="360" w:firstLine="360"/>
        <w:rPr>
          <w:rFonts w:ascii="Arial" w:eastAsia="Arial" w:hAnsi="Arial" w:cs="Arial"/>
        </w:rPr>
      </w:pPr>
      <w:bookmarkStart w:id="0" w:name="_PAR__1_4fa8cf00_fa2b_4074_842e_06e93731"/>
      <w:bookmarkStart w:id="1" w:name="_EMERGENCY_PREAMBLE__514f1e60_aa2e_42c9_"/>
      <w:bookmarkStart w:id="2" w:name="_DOC_BODY_CONTAINER__44625b4c_9345_444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493DF5" w:rsidP="00493DF5">
      <w:pPr>
        <w:ind w:left="360" w:firstLine="360"/>
        <w:rPr>
          <w:rFonts w:ascii="Arial" w:eastAsia="Arial" w:hAnsi="Arial" w:cs="Arial"/>
        </w:rPr>
      </w:pPr>
      <w:bookmarkStart w:id="3" w:name="_PAR__2_0e30ca11_9c08_4325_8758_a5286120"/>
      <w:bookmarkEnd w:id="0"/>
      <w:r>
        <w:rPr>
          <w:rFonts w:ascii="Arial" w:eastAsia="Arial" w:hAnsi="Arial" w:cs="Arial"/>
          <w:b/>
          <w:sz w:val="24"/>
        </w:rPr>
        <w:t>Whereas,</w:t>
      </w:r>
      <w:r>
        <w:rPr>
          <w:rFonts w:ascii="Arial" w:eastAsia="Arial" w:hAnsi="Arial" w:cs="Arial"/>
        </w:rPr>
        <w:t xml:space="preserve"> </w:t>
      </w:r>
      <w:r w:rsidRPr="00D00E81">
        <w:rPr>
          <w:rFonts w:ascii="Arial" w:eastAsia="Arial" w:hAnsi="Arial" w:cs="Arial"/>
          <w:szCs w:val="22"/>
        </w:rPr>
        <w:t>the Maine Revised Statutes, Title 5, chapter 375, subchapter 2-A requires legislative authorization before major substantive agency rules may be finally adopted by the agency; and</w:t>
      </w:r>
    </w:p>
    <w:p w:rsidR="00493DF5" w:rsidP="00493DF5">
      <w:pPr>
        <w:ind w:left="360" w:firstLine="360"/>
        <w:rPr>
          <w:rFonts w:ascii="Arial" w:eastAsia="Arial" w:hAnsi="Arial" w:cs="Arial"/>
        </w:rPr>
      </w:pPr>
      <w:bookmarkStart w:id="4" w:name="_PAR__3_cbf41989_ef1f_4f3b_bcc5_4e5f5917"/>
      <w:bookmarkEnd w:id="3"/>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 xml:space="preserve">a major substantive rule has been submitted to the Legislature </w:t>
      </w:r>
      <w:r>
        <w:rPr>
          <w:rFonts w:ascii="Arial" w:eastAsia="Arial" w:hAnsi="Arial" w:cs="Arial"/>
        </w:rPr>
        <w:t>for review</w:t>
      </w:r>
      <w:r w:rsidRPr="00D00E81">
        <w:rPr>
          <w:rFonts w:ascii="Arial" w:eastAsia="Arial" w:hAnsi="Arial" w:cs="Arial"/>
        </w:rPr>
        <w:t>; and</w:t>
      </w:r>
    </w:p>
    <w:p w:rsidR="00493DF5" w:rsidP="00493DF5">
      <w:pPr>
        <w:ind w:left="360" w:firstLine="360"/>
        <w:rPr>
          <w:rFonts w:ascii="Arial" w:eastAsia="Arial" w:hAnsi="Arial" w:cs="Arial"/>
        </w:rPr>
      </w:pPr>
      <w:bookmarkStart w:id="5" w:name="_PAR__4_cc34c94e_84d3_4cdd_bd93_e186f008"/>
      <w:bookmarkEnd w:id="4"/>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immediate enactment of this resolve is necessary to record the Legislature's position on final adoption of the rule; and</w:t>
      </w:r>
    </w:p>
    <w:p w:rsidR="00493DF5" w:rsidP="00493DF5">
      <w:pPr>
        <w:ind w:left="360" w:firstLine="360"/>
        <w:rPr>
          <w:rFonts w:ascii="Arial" w:eastAsia="Arial" w:hAnsi="Arial" w:cs="Arial"/>
        </w:rPr>
      </w:pPr>
      <w:bookmarkStart w:id="6" w:name="_PAR__5_cdaa3b97_f30a_409b_a678_f5cfffed"/>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493DF5" w:rsidP="00493DF5">
      <w:pPr>
        <w:ind w:left="360" w:firstLine="360"/>
        <w:rPr>
          <w:rFonts w:ascii="Arial" w:eastAsia="Arial" w:hAnsi="Arial" w:cs="Arial"/>
        </w:rPr>
      </w:pPr>
      <w:bookmarkStart w:id="7" w:name="_BILL_SECTION_UNALLOCATED__7109e3a1_19cf"/>
      <w:bookmarkStart w:id="8" w:name="_PAR__6_229e6707_6bd7_490e_95b0_af45d042"/>
      <w:bookmarkStart w:id="9" w:name="_DOC_BODY_CONTENT__396bcf36_27c1_4a97_a5"/>
      <w:bookmarkEnd w:id="1"/>
      <w:bookmarkEnd w:id="6"/>
      <w:r>
        <w:rPr>
          <w:rFonts w:ascii="Arial" w:eastAsia="Arial" w:hAnsi="Arial" w:cs="Arial"/>
          <w:b/>
          <w:sz w:val="24"/>
        </w:rPr>
        <w:t xml:space="preserve">Sec. </w:t>
      </w:r>
      <w:bookmarkStart w:id="10" w:name="_BILL_SECTION_NUMBER__2ee7734c_6e45_46c4"/>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D00E81">
        <w:rPr>
          <w:rFonts w:ascii="Arial" w:eastAsia="Arial" w:hAnsi="Arial" w:cs="Arial"/>
          <w:b/>
          <w:sz w:val="24"/>
          <w:szCs w:val="24"/>
        </w:rPr>
        <w:t>Adoption.  Resolved:</w:t>
      </w:r>
      <w:r w:rsidRPr="00D00E81">
        <w:rPr>
          <w:rFonts w:ascii="Arial" w:eastAsia="Arial" w:hAnsi="Arial" w:cs="Arial"/>
        </w:rPr>
        <w:t xml:space="preserve">  That final adoption of</w:t>
      </w:r>
      <w:r>
        <w:rPr>
          <w:rFonts w:ascii="Arial" w:eastAsia="Arial" w:hAnsi="Arial" w:cs="Arial"/>
        </w:rPr>
        <w:t xml:space="preserve"> Chapter 34:  Child Care Provider (Child Care Facilities and Family Child Care Providers) Background Check Licensing Rule</w:t>
      </w:r>
      <w:r w:rsidRPr="00D00E81">
        <w:rPr>
          <w:rFonts w:ascii="Arial" w:eastAsia="Arial" w:hAnsi="Arial" w:cs="Arial"/>
        </w:rPr>
        <w:t>, a provisionally adopted major substantive rule of the</w:t>
      </w:r>
      <w:r>
        <w:rPr>
          <w:rFonts w:ascii="Arial" w:eastAsia="Arial" w:hAnsi="Arial" w:cs="Arial"/>
        </w:rPr>
        <w:t xml:space="preserve"> Department of Health and Human Services, Office of Child and Family Services</w:t>
      </w:r>
      <w:r w:rsidRPr="00D00E81">
        <w:rPr>
          <w:rFonts w:ascii="Arial" w:eastAsia="Arial" w:hAnsi="Arial" w:cs="Arial"/>
        </w:rPr>
        <w:t xml:space="preserve"> that has been submitted to the Legislature for review pursuant to the Maine Revised Statutes, Title 5, chapter 375, subchapter 2-A, is authorized.</w:t>
      </w:r>
    </w:p>
    <w:p w:rsidR="00000000" w:rsidP="00493DF5">
      <w:pPr>
        <w:ind w:left="360" w:firstLine="360"/>
        <w:rPr>
          <w:rFonts w:ascii="Arial" w:eastAsia="Arial" w:hAnsi="Arial" w:cs="Arial"/>
        </w:rPr>
      </w:pPr>
      <w:bookmarkStart w:id="11" w:name="_EMERGENCY_CLAUSE__1088243c_1469_4908_92"/>
      <w:bookmarkStart w:id="12" w:name="_PAR__7_eb5db59b_ec22_4325_b68b_29550cbe"/>
      <w:bookmarkEnd w:id="7"/>
      <w:bookmarkEnd w:id="8"/>
      <w:bookmarkEnd w:id="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1"/>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LR2558,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Chapter 34: Child Care Provider (Child Care Facilities and Family Child Care Providers) Background Check Licensing Rule, a Major Substantive Rule of the Department of Health and Human Services, Office of Child and Family Services</w:t>
    </w:r>
  </w:p>
  <w:p>
    <w:pPr>
      <w:suppressLineNumbers/>
      <w:spacing w:before="0" w:after="0"/>
      <w:jc w:val="center"/>
      <w:rPr>
        <w:rFonts w:ascii="Arial" w:eastAsia="Arial" w:hAnsi="Arial" w:cs="Arial"/>
      </w:rPr>
    </w:pPr>
    <w:r>
      <w:rPr>
        <w:rFonts w:ascii="Arial" w:eastAsia="Arial" w:hAnsi="Arial" w:cs="Arial"/>
        <w:sz w:val="22"/>
      </w:rPr>
      <w:t>L.D. 1865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93DF5"/>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0E8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