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305: Rules and Regulations Pertaining to Traffic Movement Permits, a Major Substantive Rule of the Department of Transportation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1372 - L.D. 1851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305: Rules and Regulations Pertaining to Traffic Movement Permits, a Major Substantive Rule of the Department of Transportation</w:t>
      </w:r>
    </w:p>
    <w:p w:rsidR="001E2F45" w:rsidP="001E2F45">
      <w:pPr>
        <w:ind w:left="360" w:firstLine="360"/>
        <w:rPr>
          <w:rFonts w:ascii="Arial" w:eastAsia="Arial" w:hAnsi="Arial" w:cs="Arial"/>
        </w:rPr>
      </w:pPr>
      <w:bookmarkStart w:id="0" w:name="_PAR__1_5aeba91a_05a8_4083_8b33_4d057c3d"/>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E2F45" w:rsidP="001E2F45">
      <w:pPr>
        <w:ind w:left="360" w:firstLine="360"/>
        <w:rPr>
          <w:rFonts w:ascii="Arial" w:eastAsia="Arial" w:hAnsi="Arial" w:cs="Arial"/>
        </w:rPr>
      </w:pPr>
      <w:bookmarkStart w:id="3" w:name="_PAR__2_ba42ad86_224c_49aa_8858_3c7a060a"/>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1E2F45" w:rsidP="001E2F45">
      <w:pPr>
        <w:ind w:left="360" w:firstLine="360"/>
        <w:rPr>
          <w:rFonts w:ascii="Arial" w:eastAsia="Arial" w:hAnsi="Arial" w:cs="Arial"/>
        </w:rPr>
      </w:pPr>
      <w:bookmarkStart w:id="4" w:name="_PAR__3_2e632506_d051_44f8_8e4d_15b50212"/>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1E2F45" w:rsidP="001E2F45">
      <w:pPr>
        <w:ind w:left="360" w:firstLine="360"/>
        <w:rPr>
          <w:rFonts w:ascii="Arial" w:eastAsia="Arial" w:hAnsi="Arial" w:cs="Arial"/>
        </w:rPr>
      </w:pPr>
      <w:bookmarkStart w:id="5" w:name="_PAR__4_43449195_2da2_45b1_9107_8540c28c"/>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1E2F45" w:rsidP="001E2F45">
      <w:pPr>
        <w:ind w:left="360" w:firstLine="360"/>
        <w:rPr>
          <w:rFonts w:ascii="Arial" w:eastAsia="Arial" w:hAnsi="Arial" w:cs="Arial"/>
        </w:rPr>
      </w:pPr>
      <w:bookmarkStart w:id="6" w:name="_PAR__5_ec3efb0f_80b2_4f1e_828c_c6998c67"/>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E2F45" w:rsidP="001E2F45">
      <w:pPr>
        <w:ind w:left="360" w:firstLine="360"/>
        <w:rPr>
          <w:rFonts w:ascii="Arial" w:eastAsia="Arial" w:hAnsi="Arial" w:cs="Arial"/>
        </w:rPr>
      </w:pPr>
      <w:bookmarkStart w:id="7" w:name="_BILL_SECTION_UNALLOCATED__7109e3a1_19cf"/>
      <w:bookmarkStart w:id="8" w:name="_PAR__6_67a4a53c_25a4_42ef_b785_e7bf3e9b"/>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305:  Rules and Regulations Pertaining to Traffic Movement Permits</w:t>
      </w:r>
      <w:r w:rsidRPr="00D00E81">
        <w:rPr>
          <w:rFonts w:ascii="Arial" w:eastAsia="Arial" w:hAnsi="Arial" w:cs="Arial"/>
        </w:rPr>
        <w:t>, a provisionally adopted major substantive rule of the</w:t>
      </w:r>
      <w:r>
        <w:rPr>
          <w:rFonts w:ascii="Arial" w:eastAsia="Arial" w:hAnsi="Arial" w:cs="Arial"/>
        </w:rPr>
        <w:t xml:space="preserve"> Department of Transportation</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1E2F45">
      <w:pPr>
        <w:ind w:left="360" w:firstLine="360"/>
        <w:rPr>
          <w:rFonts w:ascii="Arial" w:eastAsia="Arial" w:hAnsi="Arial" w:cs="Arial"/>
        </w:rPr>
      </w:pPr>
      <w:bookmarkStart w:id="11" w:name="_EMERGENCY_CLAUSE__01f75ced_3e0b_43f0_81"/>
      <w:bookmarkStart w:id="12" w:name="_PAR__7_7307cb08_b203_49d1_9cff_e59f7480"/>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LR2552,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305: Rules and Regulations Pertaining to Traffic Movement Permits, a Major Substantive Rule of the Department of Transportation</w:t>
    </w:r>
  </w:p>
  <w:p>
    <w:pPr>
      <w:suppressLineNumbers/>
      <w:spacing w:before="0" w:after="0"/>
      <w:jc w:val="center"/>
      <w:rPr>
        <w:rFonts w:ascii="Arial" w:eastAsia="Arial" w:hAnsi="Arial" w:cs="Arial"/>
      </w:rPr>
    </w:pPr>
    <w:r>
      <w:rPr>
        <w:rFonts w:ascii="Arial" w:eastAsia="Arial" w:hAnsi="Arial" w:cs="Arial"/>
        <w:sz w:val="22"/>
      </w:rPr>
      <w:t>L.D. 1851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2F4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