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Noncompete Clauses</w:t>
      </w:r>
    </w:p>
    <w:p w:rsidR="00E778E3" w:rsidP="00E778E3">
      <w:pPr>
        <w:spacing w:after="240"/>
        <w:ind w:left="360"/>
        <w:jc w:val="right"/>
        <w:rPr>
          <w:rFonts w:ascii="Arial" w:eastAsia="Arial" w:hAnsi="Arial" w:cs="Arial"/>
          <w:caps/>
        </w:rPr>
      </w:pPr>
      <w:bookmarkStart w:id="0" w:name="_AMEND_TITLE__9d0739bf_f2b1_4804_8f73_34"/>
      <w:bookmarkStart w:id="1" w:name="_PAGE__1_34bd7673_a76f_481f_8375_ded52ab"/>
      <w:bookmarkStart w:id="2" w:name="_PAR__2_6f3e9424_6026_4f9b_9fc3_b8c4464d"/>
      <w:r>
        <w:rPr>
          <w:rFonts w:ascii="Arial" w:eastAsia="Arial" w:hAnsi="Arial" w:cs="Arial"/>
          <w:caps/>
        </w:rPr>
        <w:t>L.D. 1496</w:t>
      </w:r>
    </w:p>
    <w:p w:rsidR="00E778E3" w:rsidP="00E778E3">
      <w:pPr>
        <w:tabs>
          <w:tab w:val="right" w:pos="8928"/>
        </w:tabs>
        <w:spacing w:after="360"/>
        <w:ind w:left="360"/>
        <w:rPr>
          <w:rFonts w:ascii="Arial" w:eastAsia="Arial" w:hAnsi="Arial" w:cs="Arial"/>
        </w:rPr>
      </w:pPr>
      <w:bookmarkStart w:id="3" w:name="_PAR__3_e3b18385_4a74_4d0d_ba30_b824626c"/>
      <w:bookmarkEnd w:id="2"/>
      <w:r>
        <w:rPr>
          <w:rFonts w:ascii="Arial" w:eastAsia="Arial" w:hAnsi="Arial" w:cs="Arial"/>
        </w:rPr>
        <w:t>Date:</w:t>
      </w:r>
      <w:r>
        <w:rPr>
          <w:rFonts w:ascii="Arial" w:eastAsia="Arial" w:hAnsi="Arial" w:cs="Arial"/>
        </w:rPr>
        <w:tab/>
        <w:t>(Filing No. H-         )</w:t>
      </w:r>
    </w:p>
    <w:p w:rsidR="00E778E3" w:rsidP="00E778E3">
      <w:pPr>
        <w:spacing w:before="600" w:after="300"/>
        <w:ind w:left="360"/>
        <w:jc w:val="center"/>
        <w:outlineLvl w:val="0"/>
        <w:rPr>
          <w:rFonts w:ascii="Arial" w:eastAsia="Arial" w:hAnsi="Arial" w:cs="Arial"/>
        </w:rPr>
      </w:pPr>
      <w:bookmarkStart w:id="4" w:name="_PAR__4_548cf766_33da_4939_a5dc_14735091"/>
      <w:bookmarkEnd w:id="3"/>
      <w:r>
        <w:rPr>
          <w:rFonts w:ascii="Arial" w:eastAsia="Arial" w:hAnsi="Arial" w:cs="Arial"/>
          <w:b/>
          <w:caps/>
          <w:sz w:val="24"/>
          <w:szCs w:val="32"/>
        </w:rPr>
        <w:t xml:space="preserve">Labor and Housing </w:t>
      </w:r>
    </w:p>
    <w:p w:rsidR="00E778E3" w:rsidP="00E778E3">
      <w:pPr>
        <w:spacing w:before="60" w:after="60"/>
        <w:ind w:left="720"/>
        <w:rPr>
          <w:rFonts w:ascii="Arial" w:eastAsia="Arial" w:hAnsi="Arial" w:cs="Arial"/>
        </w:rPr>
      </w:pPr>
      <w:bookmarkStart w:id="5" w:name="_PAR__5_adfa969b_caea_4804_ac05_9e317ed0"/>
      <w:bookmarkEnd w:id="4"/>
      <w:r>
        <w:rPr>
          <w:rFonts w:ascii="Arial" w:eastAsia="Arial" w:hAnsi="Arial" w:cs="Arial"/>
        </w:rPr>
        <w:t>Reproduced and distributed under the direction of the Clerk of the House.</w:t>
      </w:r>
    </w:p>
    <w:p w:rsidR="00E778E3" w:rsidP="00E778E3">
      <w:pPr>
        <w:spacing w:before="160" w:after="0"/>
        <w:ind w:left="360"/>
        <w:jc w:val="center"/>
        <w:outlineLvl w:val="0"/>
        <w:rPr>
          <w:rFonts w:ascii="Arial" w:eastAsia="Arial" w:hAnsi="Arial" w:cs="Arial"/>
          <w:b/>
          <w:caps/>
          <w:sz w:val="24"/>
          <w:szCs w:val="32"/>
        </w:rPr>
      </w:pPr>
      <w:bookmarkStart w:id="6" w:name="_PAR__6_6d6added_73ee_4c2c_b8bf_40cd8264"/>
      <w:bookmarkEnd w:id="5"/>
      <w:r>
        <w:rPr>
          <w:rFonts w:ascii="Arial" w:eastAsia="Arial" w:hAnsi="Arial" w:cs="Arial"/>
          <w:b/>
          <w:caps/>
          <w:sz w:val="24"/>
          <w:szCs w:val="32"/>
        </w:rPr>
        <w:t>STATE OF MAINE</w:t>
      </w:r>
    </w:p>
    <w:p w:rsidR="00E778E3" w:rsidP="00E778E3">
      <w:pPr>
        <w:spacing w:after="0"/>
        <w:ind w:left="360"/>
        <w:jc w:val="center"/>
        <w:outlineLvl w:val="0"/>
        <w:rPr>
          <w:rFonts w:ascii="Arial" w:eastAsia="Arial" w:hAnsi="Arial" w:cs="Arial"/>
          <w:b/>
          <w:caps/>
          <w:sz w:val="24"/>
          <w:szCs w:val="32"/>
        </w:rPr>
      </w:pPr>
      <w:bookmarkStart w:id="7" w:name="_PAR__7_85184734_c126_48b0_bafc_721f1419"/>
      <w:bookmarkEnd w:id="6"/>
      <w:r>
        <w:rPr>
          <w:rFonts w:ascii="Arial" w:eastAsia="Arial" w:hAnsi="Arial" w:cs="Arial"/>
          <w:b/>
          <w:caps/>
          <w:sz w:val="24"/>
          <w:szCs w:val="32"/>
        </w:rPr>
        <w:t>HOUSE OF REPRESENTATIVES</w:t>
      </w:r>
    </w:p>
    <w:p w:rsidR="00E778E3" w:rsidP="00E778E3">
      <w:pPr>
        <w:spacing w:after="0"/>
        <w:ind w:left="360"/>
        <w:jc w:val="center"/>
        <w:outlineLvl w:val="0"/>
        <w:rPr>
          <w:rFonts w:ascii="Arial" w:eastAsia="Arial" w:hAnsi="Arial" w:cs="Arial"/>
          <w:b/>
          <w:caps/>
          <w:sz w:val="24"/>
          <w:szCs w:val="32"/>
        </w:rPr>
      </w:pPr>
      <w:bookmarkStart w:id="8" w:name="_PAR__8_b6e3099e_3f3d_41e3_80de_0479ec43"/>
      <w:bookmarkEnd w:id="7"/>
      <w:r>
        <w:rPr>
          <w:rFonts w:ascii="Arial" w:eastAsia="Arial" w:hAnsi="Arial" w:cs="Arial"/>
          <w:b/>
          <w:caps/>
          <w:sz w:val="24"/>
          <w:szCs w:val="32"/>
        </w:rPr>
        <w:t>131st Legislature</w:t>
      </w:r>
    </w:p>
    <w:p w:rsidR="00E778E3" w:rsidP="00E778E3">
      <w:pPr>
        <w:spacing w:after="0"/>
        <w:ind w:left="360"/>
        <w:jc w:val="center"/>
        <w:outlineLvl w:val="0"/>
        <w:rPr>
          <w:rFonts w:ascii="Arial" w:eastAsia="Arial" w:hAnsi="Arial" w:cs="Arial"/>
          <w:b/>
          <w:caps/>
          <w:sz w:val="24"/>
          <w:szCs w:val="32"/>
        </w:rPr>
      </w:pPr>
      <w:bookmarkStart w:id="9" w:name="_PAR__9_28192021_f95a_4385_9189_7260e6d1"/>
      <w:bookmarkEnd w:id="8"/>
      <w:r>
        <w:rPr>
          <w:rFonts w:ascii="Arial" w:eastAsia="Arial" w:hAnsi="Arial" w:cs="Arial"/>
          <w:b/>
          <w:caps/>
          <w:sz w:val="24"/>
          <w:szCs w:val="32"/>
        </w:rPr>
        <w:t>Second Regular Session</w:t>
      </w:r>
    </w:p>
    <w:p w:rsidR="00E778E3" w:rsidP="00E778E3">
      <w:pPr>
        <w:spacing w:before="400" w:after="200"/>
        <w:ind w:left="360" w:firstLine="360"/>
        <w:rPr>
          <w:rFonts w:ascii="Arial" w:eastAsia="Arial" w:hAnsi="Arial" w:cs="Arial"/>
        </w:rPr>
      </w:pPr>
      <w:bookmarkStart w:id="10" w:name="_PAR__10_3bf0a109_334a_4e25_bc21_9a53c5e"/>
      <w:bookmarkEnd w:id="9"/>
      <w:r>
        <w:rPr>
          <w:rFonts w:ascii="Arial" w:eastAsia="Arial" w:hAnsi="Arial" w:cs="Arial"/>
          <w:szCs w:val="22"/>
        </w:rPr>
        <w:t>COMMITTEE AMENDMENT “      ” to H.P. 951, L.D. 1496, “An Act to Prohibit Noncompete Clauses”</w:t>
      </w:r>
    </w:p>
    <w:p w:rsidR="00E778E3" w:rsidP="00E778E3">
      <w:pPr>
        <w:ind w:left="360" w:firstLine="360"/>
        <w:rPr>
          <w:rFonts w:ascii="Arial" w:eastAsia="Arial" w:hAnsi="Arial" w:cs="Arial"/>
        </w:rPr>
      </w:pPr>
      <w:bookmarkStart w:id="11" w:name="_INSTRUCTION__5077e46d_f27b_4680_8ef2_0f"/>
      <w:bookmarkStart w:id="12" w:name="_PAR__11_8f699bf3_c33a_457b_8e0a_16dd4c0"/>
      <w:bookmarkEnd w:id="0"/>
      <w:bookmarkEnd w:id="10"/>
      <w:r>
        <w:rPr>
          <w:rFonts w:ascii="Arial" w:eastAsia="Arial" w:hAnsi="Arial" w:cs="Arial"/>
        </w:rPr>
        <w:t>Amend the bill by striking out the title and substituting the following:</w:t>
      </w:r>
    </w:p>
    <w:p w:rsidR="00E778E3" w:rsidP="00E778E3">
      <w:pPr>
        <w:ind w:left="360"/>
        <w:rPr>
          <w:rFonts w:ascii="Arial" w:eastAsia="Arial" w:hAnsi="Arial" w:cs="Arial"/>
        </w:rPr>
      </w:pPr>
      <w:bookmarkStart w:id="13" w:name="_PAR__12_becb7d85_e6a6_4d05_bae6_70ce7e2"/>
      <w:bookmarkEnd w:id="12"/>
      <w:r>
        <w:rPr>
          <w:rFonts w:ascii="Arial" w:eastAsia="Arial" w:hAnsi="Arial" w:cs="Arial"/>
          <w:b/>
        </w:rPr>
        <w:t>'An Act to Restrict Noncompete Clauses'</w:t>
      </w:r>
    </w:p>
    <w:p w:rsidR="00E778E3" w:rsidP="00E778E3">
      <w:pPr>
        <w:ind w:left="360" w:firstLine="360"/>
        <w:rPr>
          <w:rFonts w:ascii="Arial" w:eastAsia="Arial" w:hAnsi="Arial" w:cs="Arial"/>
        </w:rPr>
      </w:pPr>
      <w:bookmarkStart w:id="14" w:name="_INSTRUCTION__67fc3a4a_11e5_4b7b_8757_71"/>
      <w:bookmarkStart w:id="15" w:name="_PAR__13_d1cfb65e_4d1f_4e47_9de0_0dda9d7"/>
      <w:bookmarkEnd w:id="11"/>
      <w:bookmarkEnd w:id="13"/>
      <w:r>
        <w:rPr>
          <w:rFonts w:ascii="Arial" w:eastAsia="Arial" w:hAnsi="Arial" w:cs="Arial"/>
        </w:rPr>
        <w:t>Amend the bill by striking out everything after the enacting clause and inserting the following:</w:t>
      </w:r>
    </w:p>
    <w:p w:rsidR="00E778E3" w:rsidP="00E778E3">
      <w:pPr>
        <w:ind w:left="360" w:firstLine="360"/>
        <w:rPr>
          <w:rFonts w:ascii="Arial" w:eastAsia="Arial" w:hAnsi="Arial" w:cs="Arial"/>
        </w:rPr>
      </w:pPr>
      <w:bookmarkStart w:id="16" w:name="_PAR__14_df31c607_0953_4d84_ba1b_7e727b8"/>
      <w:bookmarkEnd w:id="15"/>
      <w:r>
        <w:rPr>
          <w:rFonts w:ascii="Arial" w:eastAsia="Arial" w:hAnsi="Arial" w:cs="Arial"/>
        </w:rPr>
        <w:t>'</w:t>
      </w:r>
      <w:r>
        <w:rPr>
          <w:rFonts w:ascii="Arial" w:eastAsia="Arial" w:hAnsi="Arial" w:cs="Arial"/>
          <w:b/>
          <w:sz w:val="24"/>
        </w:rPr>
        <w:t>Sec. 1.  26 MRSA §599-A, sub-§2,</w:t>
      </w:r>
      <w:r>
        <w:rPr>
          <w:rFonts w:ascii="Arial" w:eastAsia="Arial" w:hAnsi="Arial" w:cs="Arial"/>
        </w:rPr>
        <w:t xml:space="preserve"> as enacted by PL 2019, c. 513, §1, is repealed.</w:t>
      </w:r>
    </w:p>
    <w:p w:rsidR="00E778E3" w:rsidP="00E778E3">
      <w:pPr>
        <w:ind w:left="360" w:firstLine="360"/>
        <w:rPr>
          <w:rFonts w:ascii="Arial" w:eastAsia="Arial" w:hAnsi="Arial" w:cs="Arial"/>
        </w:rPr>
      </w:pPr>
      <w:bookmarkStart w:id="17" w:name="_PAR__15_4df2a063_c9cd_458c_8711_ddb1e42"/>
      <w:bookmarkEnd w:id="16"/>
      <w:r>
        <w:rPr>
          <w:rFonts w:ascii="Arial" w:eastAsia="Arial" w:hAnsi="Arial" w:cs="Arial"/>
          <w:b/>
          <w:sz w:val="24"/>
        </w:rPr>
        <w:t>Sec. 2.  26 MRSA §599-A, sub-§2-A</w:t>
      </w:r>
      <w:r>
        <w:rPr>
          <w:rFonts w:ascii="Arial" w:eastAsia="Arial" w:hAnsi="Arial" w:cs="Arial"/>
        </w:rPr>
        <w:t xml:space="preserve"> is enacted to read:</w:t>
      </w:r>
    </w:p>
    <w:p w:rsidR="00E778E3" w:rsidP="00E778E3">
      <w:pPr>
        <w:ind w:left="360" w:firstLine="360"/>
        <w:rPr>
          <w:rFonts w:ascii="Arial" w:eastAsia="Arial" w:hAnsi="Arial" w:cs="Arial"/>
        </w:rPr>
      </w:pPr>
      <w:bookmarkStart w:id="18" w:name="_PAR__16_06d8831d_277a_443e_b904_d6992db"/>
      <w:bookmarkEnd w:id="17"/>
      <w:r>
        <w:rPr>
          <w:rFonts w:ascii="Arial" w:eastAsia="Arial" w:hAnsi="Arial" w:cs="Arial"/>
          <w:b/>
          <w:u w:val="single"/>
        </w:rPr>
        <w:t xml:space="preserve">2-A.  Public policy; enforceability of noncompete agreements. </w:t>
      </w:r>
      <w:r>
        <w:rPr>
          <w:rFonts w:ascii="Arial" w:eastAsia="Arial" w:hAnsi="Arial" w:cs="Arial"/>
          <w:u w:val="single"/>
        </w:rPr>
        <w:t xml:space="preserve"> Noncompete agreements are contrary to public policy and are enforceable only to the extent that they are reasonable and are not broader than necessary to protect:</w:t>
      </w:r>
    </w:p>
    <w:p w:rsidR="00E778E3" w:rsidP="00E778E3">
      <w:pPr>
        <w:ind w:left="720"/>
        <w:rPr>
          <w:rFonts w:ascii="Arial" w:eastAsia="Arial" w:hAnsi="Arial" w:cs="Arial"/>
        </w:rPr>
      </w:pPr>
      <w:bookmarkStart w:id="19" w:name="_PAR__17_c8586c60_2b19_4499_9db2_d5bf228"/>
      <w:bookmarkEnd w:id="18"/>
      <w:r>
        <w:rPr>
          <w:rFonts w:ascii="Arial" w:eastAsia="Arial" w:hAnsi="Arial" w:cs="Arial"/>
          <w:u w:val="single"/>
        </w:rPr>
        <w:t>A.  The employer’s trade secrets, as defined in Title 10, section 1542, subsection 4; or</w:t>
      </w:r>
    </w:p>
    <w:p w:rsidR="00E778E3" w:rsidP="00E778E3">
      <w:pPr>
        <w:ind w:left="720"/>
        <w:rPr>
          <w:rFonts w:ascii="Arial" w:eastAsia="Arial" w:hAnsi="Arial" w:cs="Arial"/>
        </w:rPr>
      </w:pPr>
      <w:bookmarkStart w:id="20" w:name="_PAR__18_85d2379d_4315_45aa_85ba_57de0d6"/>
      <w:bookmarkEnd w:id="19"/>
      <w:r>
        <w:rPr>
          <w:rFonts w:ascii="Arial" w:eastAsia="Arial" w:hAnsi="Arial" w:cs="Arial"/>
          <w:u w:val="single"/>
        </w:rPr>
        <w:t>B.  The employer, if the employee has an ownership interest in the employer.</w:t>
      </w:r>
    </w:p>
    <w:p w:rsidR="00E778E3" w:rsidP="00E778E3">
      <w:pPr>
        <w:ind w:left="360"/>
        <w:rPr>
          <w:rFonts w:ascii="Arial" w:eastAsia="Arial" w:hAnsi="Arial" w:cs="Arial"/>
        </w:rPr>
      </w:pPr>
      <w:bookmarkStart w:id="21" w:name="_PAR__19_c8f5d0a8_7a80_4898_b543_fda2f88"/>
      <w:bookmarkEnd w:id="20"/>
      <w:r>
        <w:rPr>
          <w:rFonts w:ascii="Arial" w:eastAsia="Arial" w:hAnsi="Arial" w:cs="Arial"/>
          <w:u w:val="single"/>
        </w:rPr>
        <w:t>A noncompete agreement may be presumed necessary if the employer’s trade secrets cannot be adequately protected through an alternative restrictive covenant, including but not limited to a nonsolicitation agreement or a nondisclosure or confidentiality agreement.</w:t>
      </w:r>
    </w:p>
    <w:p w:rsidR="00E778E3" w:rsidP="00E778E3">
      <w:pPr>
        <w:ind w:left="360" w:firstLine="360"/>
        <w:rPr>
          <w:rFonts w:ascii="Arial" w:eastAsia="Arial" w:hAnsi="Arial" w:cs="Arial"/>
        </w:rPr>
      </w:pPr>
      <w:bookmarkStart w:id="22" w:name="_PAR__20_905462f7_4f80_4ba2_98ba_519b5ea"/>
      <w:bookmarkEnd w:id="21"/>
      <w:r>
        <w:rPr>
          <w:rFonts w:ascii="Arial" w:eastAsia="Arial" w:hAnsi="Arial" w:cs="Arial"/>
          <w:b/>
          <w:sz w:val="24"/>
        </w:rPr>
        <w:t>Sec. 3.  26 MRSA §599-A, sub-§3,</w:t>
      </w:r>
      <w:r>
        <w:rPr>
          <w:rFonts w:ascii="Arial" w:eastAsia="Arial" w:hAnsi="Arial" w:cs="Arial"/>
        </w:rPr>
        <w:t xml:space="preserve"> as amended by PL 2023, c. 118, §1, is further amended to read:</w:t>
      </w:r>
    </w:p>
    <w:p w:rsidR="00E778E3" w:rsidP="00E778E3">
      <w:pPr>
        <w:ind w:left="360" w:firstLine="360"/>
        <w:rPr>
          <w:rFonts w:ascii="Arial" w:eastAsia="Arial" w:hAnsi="Arial" w:cs="Arial"/>
        </w:rPr>
      </w:pPr>
      <w:bookmarkStart w:id="23" w:name="_PAR__21_eb0e9264_8cea_479b_ad87_64798a2"/>
      <w:bookmarkEnd w:id="22"/>
      <w:r>
        <w:rPr>
          <w:rFonts w:ascii="Arial" w:eastAsia="Arial" w:hAnsi="Arial" w:cs="Arial"/>
          <w:b/>
        </w:rPr>
        <w:t xml:space="preserve">3.  Prohibited for certain workers. </w:t>
      </w:r>
      <w:r>
        <w:rPr>
          <w:rFonts w:ascii="Arial" w:eastAsia="Arial" w:hAnsi="Arial" w:cs="Arial"/>
        </w:rPr>
        <w:t xml:space="preserve"> Notwithstanding subsection </w:t>
      </w:r>
      <w:r>
        <w:rPr>
          <w:rFonts w:ascii="Arial" w:eastAsia="Arial" w:hAnsi="Arial" w:cs="Arial"/>
          <w:strike/>
        </w:rPr>
        <w:t>2</w:t>
      </w:r>
      <w:r>
        <w:rPr>
          <w:rFonts w:ascii="Arial" w:eastAsia="Arial" w:hAnsi="Arial" w:cs="Arial"/>
        </w:rPr>
        <w:t xml:space="preserve"> </w:t>
      </w:r>
      <w:r>
        <w:rPr>
          <w:rFonts w:ascii="Arial" w:eastAsia="Arial" w:hAnsi="Arial" w:cs="Arial"/>
          <w:u w:val="single"/>
        </w:rPr>
        <w:t>2-A</w:t>
      </w:r>
      <w:r>
        <w:rPr>
          <w:rFonts w:ascii="Arial" w:eastAsia="Arial" w:hAnsi="Arial" w:cs="Arial"/>
        </w:rPr>
        <w:t>, an employer may not require or permit an employee to enter into a noncompete agreement with the employer if:</w:t>
      </w:r>
    </w:p>
    <w:p w:rsidR="00E778E3" w:rsidP="00E778E3">
      <w:pPr>
        <w:ind w:left="720"/>
        <w:rPr>
          <w:rFonts w:ascii="Arial" w:eastAsia="Arial" w:hAnsi="Arial" w:cs="Arial"/>
        </w:rPr>
      </w:pPr>
      <w:bookmarkStart w:id="24" w:name="_PAR__22_81d95fe4_d894_44a3_b354_33675d5"/>
      <w:bookmarkEnd w:id="23"/>
      <w:r>
        <w:rPr>
          <w:rFonts w:ascii="Arial" w:eastAsia="Arial" w:hAnsi="Arial" w:cs="Arial"/>
        </w:rPr>
        <w:t>A.  The employee is earning wages at or below 400% of the federal poverty level; or</w:t>
      </w:r>
    </w:p>
    <w:p w:rsidR="00E778E3" w:rsidP="00E778E3">
      <w:pPr>
        <w:ind w:left="720"/>
        <w:rPr>
          <w:rFonts w:ascii="Arial" w:eastAsia="Arial" w:hAnsi="Arial" w:cs="Arial"/>
        </w:rPr>
      </w:pPr>
      <w:bookmarkStart w:id="25" w:name="_PAR__23_e5aa9a13_ced2_458f_b784_ef204af"/>
      <w:bookmarkEnd w:id="24"/>
      <w:r>
        <w:rPr>
          <w:rFonts w:ascii="Arial" w:eastAsia="Arial" w:hAnsi="Arial" w:cs="Arial"/>
        </w:rPr>
        <w:t>B.  The employee is a veterinarian licensed under Title 32, chapter 71‑A and is employed in a veterinary facility in which the employee does not have an ownership interest.</w:t>
      </w:r>
    </w:p>
    <w:p w:rsidR="00E778E3" w:rsidP="00E778E3">
      <w:pPr>
        <w:ind w:left="720"/>
        <w:rPr>
          <w:rFonts w:ascii="Arial" w:eastAsia="Arial" w:hAnsi="Arial" w:cs="Arial"/>
        </w:rPr>
      </w:pPr>
      <w:bookmarkStart w:id="26" w:name="_PAGE__2_3b2c91cd_e0dd_4d8e_9627_3ccbb5e"/>
      <w:bookmarkStart w:id="27" w:name="_PAR__2_2baaf0da_7309_4e94_a196_6fc5524c"/>
      <w:bookmarkEnd w:id="1"/>
      <w:bookmarkEnd w:id="25"/>
      <w:r>
        <w:rPr>
          <w:rFonts w:ascii="Arial" w:eastAsia="Arial" w:hAnsi="Arial" w:cs="Arial"/>
        </w:rPr>
        <w:t xml:space="preserve">A court may not enforce a noncompete agreement entered into or renewed with an employee who is a veterinarian licensed under Title 32, chapter 71‑A before </w:t>
      </w:r>
      <w:r>
        <w:rPr>
          <w:rFonts w:ascii="Arial" w:eastAsia="Arial" w:hAnsi="Arial" w:cs="Arial"/>
          <w:strike/>
        </w:rPr>
        <w:t>the effective date of this paragraph</w:t>
      </w:r>
      <w:r>
        <w:rPr>
          <w:rFonts w:ascii="Arial" w:eastAsia="Arial" w:hAnsi="Arial" w:cs="Arial"/>
        </w:rPr>
        <w:t xml:space="preserve"> </w:t>
      </w:r>
      <w:r>
        <w:rPr>
          <w:rFonts w:ascii="Arial" w:eastAsia="Arial" w:hAnsi="Arial" w:cs="Arial"/>
          <w:u w:val="single"/>
        </w:rPr>
        <w:t>October 25, 2023</w:t>
      </w:r>
      <w:r>
        <w:rPr>
          <w:rFonts w:ascii="Arial" w:eastAsia="Arial" w:hAnsi="Arial" w:cs="Arial"/>
        </w:rPr>
        <w:t xml:space="preserve"> unless the employee is working in a veterinary facility in which the employee has an ownership interest.</w:t>
      </w:r>
    </w:p>
    <w:p w:rsidR="00E778E3" w:rsidP="00E778E3">
      <w:pPr>
        <w:ind w:left="360" w:firstLine="360"/>
        <w:rPr>
          <w:rFonts w:ascii="Arial" w:eastAsia="Arial" w:hAnsi="Arial" w:cs="Arial"/>
        </w:rPr>
      </w:pPr>
      <w:bookmarkStart w:id="28" w:name="_PAR__3_fd036ee5_8e25_4e73_bb2b_2670afd1"/>
      <w:bookmarkEnd w:id="27"/>
      <w:r>
        <w:rPr>
          <w:rFonts w:ascii="Arial" w:eastAsia="Arial" w:hAnsi="Arial" w:cs="Arial"/>
          <w:b/>
          <w:sz w:val="24"/>
        </w:rPr>
        <w:t>Sec. 4.  26 MRSA §599-A, sub-§7,</w:t>
      </w:r>
      <w:r>
        <w:rPr>
          <w:rFonts w:ascii="Arial" w:eastAsia="Arial" w:hAnsi="Arial" w:cs="Arial"/>
        </w:rPr>
        <w:t xml:space="preserve"> as enacted by PL 2019, c. 513, §1, is amended to read:</w:t>
      </w:r>
    </w:p>
    <w:p w:rsidR="00E778E3" w:rsidP="00E778E3">
      <w:pPr>
        <w:ind w:left="360" w:firstLine="360"/>
        <w:rPr>
          <w:rFonts w:ascii="Arial" w:eastAsia="Arial" w:hAnsi="Arial" w:cs="Arial"/>
        </w:rPr>
      </w:pPr>
      <w:bookmarkStart w:id="29" w:name="_PAR__4_2e302225_01f8_4708_8043_0b9ea96a"/>
      <w:bookmarkEnd w:id="28"/>
      <w:r>
        <w:rPr>
          <w:rFonts w:ascii="Arial" w:eastAsia="Arial" w:hAnsi="Arial" w:cs="Arial"/>
          <w:b/>
        </w:rPr>
        <w:t xml:space="preserve">7.  Application. </w:t>
      </w:r>
      <w:r>
        <w:rPr>
          <w:rFonts w:ascii="Arial" w:eastAsia="Arial" w:hAnsi="Arial" w:cs="Arial"/>
        </w:rPr>
        <w:t xml:space="preserve"> </w:t>
      </w:r>
      <w:r>
        <w:rPr>
          <w:rFonts w:ascii="Arial" w:eastAsia="Arial" w:hAnsi="Arial" w:cs="Arial"/>
          <w:strike/>
        </w:rPr>
        <w:t>This</w:t>
      </w:r>
      <w:r>
        <w:rPr>
          <w:rFonts w:ascii="Arial" w:eastAsia="Arial" w:hAnsi="Arial" w:cs="Arial"/>
        </w:rPr>
        <w:t xml:space="preserve"> </w:t>
      </w:r>
      <w:r>
        <w:rPr>
          <w:rFonts w:ascii="Arial" w:eastAsia="Arial" w:hAnsi="Arial" w:cs="Arial"/>
          <w:u w:val="single"/>
        </w:rPr>
        <w:t>Except as otherwise provided, this</w:t>
      </w:r>
      <w:r>
        <w:rPr>
          <w:rFonts w:ascii="Arial" w:eastAsia="Arial" w:hAnsi="Arial" w:cs="Arial"/>
        </w:rPr>
        <w:t xml:space="preserve"> section applies to all noncompete agreements entered into or renewed </w:t>
      </w:r>
      <w:r>
        <w:rPr>
          <w:rFonts w:ascii="Arial" w:eastAsia="Arial" w:hAnsi="Arial" w:cs="Arial"/>
          <w:u w:val="single"/>
        </w:rPr>
        <w:t>on or</w:t>
      </w:r>
      <w:r>
        <w:rPr>
          <w:rFonts w:ascii="Arial" w:eastAsia="Arial" w:hAnsi="Arial" w:cs="Arial"/>
        </w:rPr>
        <w:t xml:space="preserve"> after </w:t>
      </w:r>
      <w:r>
        <w:rPr>
          <w:rFonts w:ascii="Arial" w:eastAsia="Arial" w:hAnsi="Arial" w:cs="Arial"/>
          <w:strike/>
        </w:rPr>
        <w:t>the effective date of this section</w:t>
      </w:r>
      <w:r>
        <w:rPr>
          <w:rFonts w:ascii="Arial" w:eastAsia="Arial" w:hAnsi="Arial" w:cs="Arial"/>
        </w:rPr>
        <w:t xml:space="preserve"> </w:t>
      </w:r>
      <w:r>
        <w:rPr>
          <w:rFonts w:ascii="Arial" w:eastAsia="Arial" w:hAnsi="Arial" w:cs="Arial"/>
          <w:u w:val="single"/>
        </w:rPr>
        <w:t>September 19, 2019</w:t>
      </w:r>
      <w:r>
        <w:rPr>
          <w:rFonts w:ascii="Arial" w:eastAsia="Arial" w:hAnsi="Arial" w:cs="Arial"/>
        </w:rPr>
        <w:t>.</w:t>
      </w:r>
    </w:p>
    <w:p w:rsidR="00E778E3" w:rsidP="00E778E3">
      <w:pPr>
        <w:ind w:left="360" w:firstLine="360"/>
        <w:rPr>
          <w:rFonts w:ascii="Arial" w:eastAsia="Arial" w:hAnsi="Arial" w:cs="Arial"/>
        </w:rPr>
      </w:pPr>
      <w:bookmarkStart w:id="30" w:name="_PAR__5_8de1b48c_0da6_4c0e_8a86_1b4ce44c"/>
      <w:bookmarkEnd w:id="29"/>
      <w:r>
        <w:rPr>
          <w:rFonts w:ascii="Arial" w:eastAsia="Arial" w:hAnsi="Arial" w:cs="Arial"/>
          <w:b/>
          <w:sz w:val="24"/>
        </w:rPr>
        <w:t>Sec. 5.  Application.</w:t>
      </w:r>
      <w:r>
        <w:rPr>
          <w:rFonts w:ascii="Arial" w:eastAsia="Arial" w:hAnsi="Arial" w:cs="Arial"/>
        </w:rPr>
        <w:t xml:space="preserve">   This Act applies to all noncompete agreements entered into or renewed on or after the effective date of this Act.'</w:t>
      </w:r>
    </w:p>
    <w:p w:rsidR="00E778E3" w:rsidP="00E778E3">
      <w:pPr>
        <w:ind w:left="360" w:firstLine="360"/>
        <w:rPr>
          <w:rFonts w:ascii="Arial" w:eastAsia="Arial" w:hAnsi="Arial" w:cs="Arial"/>
        </w:rPr>
      </w:pPr>
      <w:bookmarkStart w:id="31" w:name="_INSTRUCTION__b19f142d_97a7_4663_8c7a_73"/>
      <w:bookmarkStart w:id="32" w:name="_PAR__6_d3241a20_4618_4588_9994_3973b89a"/>
      <w:bookmarkEnd w:id="14"/>
      <w:bookmarkEnd w:id="30"/>
      <w:r>
        <w:rPr>
          <w:rFonts w:ascii="Arial" w:eastAsia="Arial" w:hAnsi="Arial" w:cs="Arial"/>
        </w:rPr>
        <w:t>Amend the bill by relettering or renumbering any nonconsecutive Part letter or section number to read consecutively.</w:t>
      </w:r>
    </w:p>
    <w:p w:rsidR="00E778E3" w:rsidP="00E778E3">
      <w:pPr>
        <w:keepNext/>
        <w:spacing w:before="240"/>
        <w:ind w:left="360"/>
        <w:jc w:val="center"/>
        <w:rPr>
          <w:rFonts w:ascii="Arial" w:eastAsia="Arial" w:hAnsi="Arial" w:cs="Arial"/>
        </w:rPr>
      </w:pPr>
      <w:bookmarkStart w:id="33" w:name="_SUMMARY__d1143333_94f2_4801_b76f_4fb8b0"/>
      <w:bookmarkStart w:id="34" w:name="_PAR__7_0d7f176d_339d_4051_9a55_eb4a35b2"/>
      <w:bookmarkEnd w:id="31"/>
      <w:bookmarkEnd w:id="32"/>
      <w:r>
        <w:rPr>
          <w:rFonts w:ascii="Arial" w:eastAsia="Arial" w:hAnsi="Arial" w:cs="Arial"/>
          <w:b/>
          <w:sz w:val="24"/>
        </w:rPr>
        <w:t>SUMMARY</w:t>
      </w:r>
    </w:p>
    <w:p w:rsidR="00000000" w:rsidP="00E778E3">
      <w:pPr>
        <w:ind w:left="360" w:firstLine="360"/>
        <w:rPr>
          <w:rFonts w:ascii="Arial" w:eastAsia="Arial" w:hAnsi="Arial" w:cs="Arial"/>
        </w:rPr>
      </w:pPr>
      <w:bookmarkStart w:id="35" w:name="_PAR__8_2bf4fb3e_0a92_4dd9_8174_a64a2821"/>
      <w:bookmarkEnd w:id="34"/>
      <w:r w:rsidRPr="009440D0">
        <w:rPr>
          <w:rFonts w:ascii="Arial" w:eastAsia="Arial" w:hAnsi="Arial" w:cs="Arial"/>
        </w:rPr>
        <w:t xml:space="preserve">This amendment replaces the bill </w:t>
      </w:r>
      <w:r>
        <w:rPr>
          <w:rFonts w:ascii="Arial" w:eastAsia="Arial" w:hAnsi="Arial" w:cs="Arial"/>
        </w:rPr>
        <w:t>and changes the title.</w:t>
      </w:r>
      <w:r w:rsidRPr="009440D0">
        <w:rPr>
          <w:rFonts w:ascii="Arial" w:eastAsia="Arial" w:hAnsi="Arial" w:cs="Arial"/>
        </w:rPr>
        <w:t xml:space="preserve"> This amendment provides that noncompete agreements are enforceable </w:t>
      </w:r>
      <w:r>
        <w:rPr>
          <w:rFonts w:ascii="Arial" w:eastAsia="Arial" w:hAnsi="Arial" w:cs="Arial"/>
        </w:rPr>
        <w:t xml:space="preserve">only </w:t>
      </w:r>
      <w:r w:rsidRPr="009440D0">
        <w:rPr>
          <w:rFonts w:ascii="Arial" w:eastAsia="Arial" w:hAnsi="Arial" w:cs="Arial"/>
        </w:rPr>
        <w:t xml:space="preserve">if they are reasonable and are not broader than necessary to protect an employer’s trade secrets or protect an employer when the employee has an ownership interest in the employer. The amendment </w:t>
      </w:r>
      <w:r>
        <w:rPr>
          <w:rFonts w:ascii="Arial" w:eastAsia="Arial" w:hAnsi="Arial" w:cs="Arial"/>
        </w:rPr>
        <w:t>also makes technical changes and clarifies</w:t>
      </w:r>
      <w:r w:rsidRPr="009440D0">
        <w:rPr>
          <w:rFonts w:ascii="Arial" w:eastAsia="Arial" w:hAnsi="Arial" w:cs="Arial"/>
        </w:rPr>
        <w:t xml:space="preserve"> the application of the </w:t>
      </w:r>
      <w:r>
        <w:rPr>
          <w:rFonts w:ascii="Arial" w:eastAsia="Arial" w:hAnsi="Arial" w:cs="Arial"/>
        </w:rPr>
        <w:t>legislation</w:t>
      </w:r>
      <w:r w:rsidRPr="009440D0">
        <w:rPr>
          <w:rFonts w:ascii="Arial" w:eastAsia="Arial" w:hAnsi="Arial" w:cs="Arial"/>
        </w:rPr>
        <w:t>.</w:t>
      </w:r>
      <w:bookmarkEnd w:id="26"/>
      <w:bookmarkEnd w:id="33"/>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LR1713,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Restrict Noncompete Clauses</w:t>
    </w:r>
  </w:p>
  <w:p>
    <w:pPr>
      <w:suppressLineNumbers/>
      <w:spacing w:before="0" w:after="0"/>
      <w:jc w:val="center"/>
      <w:rPr>
        <w:rFonts w:ascii="Arial" w:eastAsia="Arial" w:hAnsi="Arial" w:cs="Arial"/>
      </w:rPr>
    </w:pPr>
    <w:r>
      <w:rPr>
        <w:rFonts w:ascii="Arial" w:eastAsia="Arial" w:hAnsi="Arial" w:cs="Arial"/>
        <w:sz w:val="22"/>
      </w:rPr>
      <w:t>L.D. 1496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40D0"/>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78E3"/>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