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Working Waterfront Covenants</w:t>
      </w:r>
    </w:p>
    <w:p w:rsidR="00A85BD4" w:rsidP="00A85BD4">
      <w:pPr>
        <w:spacing w:after="240"/>
        <w:ind w:left="360"/>
        <w:jc w:val="right"/>
        <w:rPr>
          <w:rFonts w:ascii="Arial" w:eastAsia="Arial" w:hAnsi="Arial" w:cs="Arial"/>
          <w:caps/>
        </w:rPr>
      </w:pPr>
      <w:bookmarkStart w:id="0" w:name="_AMEND_TITLE__89495063_46d3_4263_b7bd_3c"/>
      <w:bookmarkStart w:id="1" w:name="_PAGE__1_9f058761_14a4_41cf_85c5_1f6046c"/>
      <w:bookmarkStart w:id="2" w:name="_PAR__2_248cc07e_44ad_4dd5_8de8_e58c696a"/>
      <w:r>
        <w:rPr>
          <w:rFonts w:ascii="Arial" w:eastAsia="Arial" w:hAnsi="Arial" w:cs="Arial"/>
          <w:caps/>
        </w:rPr>
        <w:t>L.D. 574</w:t>
      </w:r>
    </w:p>
    <w:p w:rsidR="00A85BD4" w:rsidP="00A85BD4">
      <w:pPr>
        <w:tabs>
          <w:tab w:val="right" w:pos="8928"/>
        </w:tabs>
        <w:spacing w:after="360"/>
        <w:ind w:left="360"/>
        <w:rPr>
          <w:rFonts w:ascii="Arial" w:eastAsia="Arial" w:hAnsi="Arial" w:cs="Arial"/>
        </w:rPr>
      </w:pPr>
      <w:bookmarkStart w:id="3" w:name="_PAR__3_8b2f6a12_27b7_45d8_bf9a_f0e68852"/>
      <w:bookmarkEnd w:id="2"/>
      <w:r>
        <w:rPr>
          <w:rFonts w:ascii="Arial" w:eastAsia="Arial" w:hAnsi="Arial" w:cs="Arial"/>
        </w:rPr>
        <w:t>Date:</w:t>
      </w:r>
      <w:r>
        <w:rPr>
          <w:rFonts w:ascii="Arial" w:eastAsia="Arial" w:hAnsi="Arial" w:cs="Arial"/>
        </w:rPr>
        <w:tab/>
        <w:t>(Filing No. H-         )</w:t>
      </w:r>
    </w:p>
    <w:p w:rsidR="00A85BD4" w:rsidP="00A85BD4">
      <w:pPr>
        <w:spacing w:before="600" w:after="300"/>
        <w:ind w:left="360"/>
        <w:jc w:val="center"/>
        <w:outlineLvl w:val="0"/>
        <w:rPr>
          <w:rFonts w:ascii="Arial" w:eastAsia="Arial" w:hAnsi="Arial" w:cs="Arial"/>
        </w:rPr>
      </w:pPr>
      <w:bookmarkStart w:id="4" w:name="_PAR__4_9dcf707f_a345_4dde_a007_e9761ed1"/>
      <w:bookmarkEnd w:id="3"/>
      <w:r>
        <w:rPr>
          <w:rFonts w:ascii="Arial" w:eastAsia="Arial" w:hAnsi="Arial" w:cs="Arial"/>
          <w:b/>
          <w:caps/>
          <w:sz w:val="24"/>
          <w:szCs w:val="32"/>
        </w:rPr>
        <w:t xml:space="preserve">Agriculture, Conservation and Forestry </w:t>
      </w:r>
    </w:p>
    <w:p w:rsidR="00A85BD4" w:rsidP="00A85BD4">
      <w:pPr>
        <w:spacing w:before="60" w:after="60"/>
        <w:ind w:left="720"/>
        <w:rPr>
          <w:rFonts w:ascii="Arial" w:eastAsia="Arial" w:hAnsi="Arial" w:cs="Arial"/>
        </w:rPr>
      </w:pPr>
      <w:bookmarkStart w:id="5" w:name="_PAR__5_f747681b_7772_4200_be2a_5e4ba9ae"/>
      <w:bookmarkEnd w:id="4"/>
      <w:r>
        <w:rPr>
          <w:rFonts w:ascii="Arial" w:eastAsia="Arial" w:hAnsi="Arial" w:cs="Arial"/>
        </w:rPr>
        <w:t>Reproduced and distributed under the direction of the Clerk of the House.</w:t>
      </w:r>
    </w:p>
    <w:p w:rsidR="00A85BD4" w:rsidP="00A85BD4">
      <w:pPr>
        <w:spacing w:before="160" w:after="0"/>
        <w:ind w:left="360"/>
        <w:jc w:val="center"/>
        <w:outlineLvl w:val="0"/>
        <w:rPr>
          <w:rFonts w:ascii="Arial" w:eastAsia="Arial" w:hAnsi="Arial" w:cs="Arial"/>
          <w:b/>
          <w:caps/>
          <w:sz w:val="24"/>
          <w:szCs w:val="32"/>
        </w:rPr>
      </w:pPr>
      <w:bookmarkStart w:id="6" w:name="_PAR__6_aaae5289_5e6b_4ec4_b303_ac8ab185"/>
      <w:bookmarkEnd w:id="5"/>
      <w:r>
        <w:rPr>
          <w:rFonts w:ascii="Arial" w:eastAsia="Arial" w:hAnsi="Arial" w:cs="Arial"/>
          <w:b/>
          <w:caps/>
          <w:sz w:val="24"/>
          <w:szCs w:val="32"/>
        </w:rPr>
        <w:t>STATE OF MAINE</w:t>
      </w:r>
    </w:p>
    <w:p w:rsidR="00A85BD4" w:rsidP="00A85BD4">
      <w:pPr>
        <w:spacing w:after="0"/>
        <w:ind w:left="360"/>
        <w:jc w:val="center"/>
        <w:outlineLvl w:val="0"/>
        <w:rPr>
          <w:rFonts w:ascii="Arial" w:eastAsia="Arial" w:hAnsi="Arial" w:cs="Arial"/>
          <w:b/>
          <w:caps/>
          <w:sz w:val="24"/>
          <w:szCs w:val="32"/>
        </w:rPr>
      </w:pPr>
      <w:bookmarkStart w:id="7" w:name="_PAR__7_7fb5b2fd_18e1_4ed4_aacb_d8af0bc1"/>
      <w:bookmarkEnd w:id="6"/>
      <w:r>
        <w:rPr>
          <w:rFonts w:ascii="Arial" w:eastAsia="Arial" w:hAnsi="Arial" w:cs="Arial"/>
          <w:b/>
          <w:caps/>
          <w:sz w:val="24"/>
          <w:szCs w:val="32"/>
        </w:rPr>
        <w:t>HOUSE OF REPRESENTATIVES</w:t>
      </w:r>
    </w:p>
    <w:p w:rsidR="00A85BD4" w:rsidP="00A85BD4">
      <w:pPr>
        <w:spacing w:after="0"/>
        <w:ind w:left="360"/>
        <w:jc w:val="center"/>
        <w:outlineLvl w:val="0"/>
        <w:rPr>
          <w:rFonts w:ascii="Arial" w:eastAsia="Arial" w:hAnsi="Arial" w:cs="Arial"/>
          <w:b/>
          <w:caps/>
          <w:sz w:val="24"/>
          <w:szCs w:val="32"/>
        </w:rPr>
      </w:pPr>
      <w:bookmarkStart w:id="8" w:name="_PAR__8_bf6ee10d_c136_4bb0_ab31_0e327fcf"/>
      <w:bookmarkEnd w:id="7"/>
      <w:r>
        <w:rPr>
          <w:rFonts w:ascii="Arial" w:eastAsia="Arial" w:hAnsi="Arial" w:cs="Arial"/>
          <w:b/>
          <w:caps/>
          <w:sz w:val="24"/>
          <w:szCs w:val="32"/>
        </w:rPr>
        <w:t>131st Legislature</w:t>
      </w:r>
    </w:p>
    <w:p w:rsidR="00A85BD4" w:rsidP="00A85BD4">
      <w:pPr>
        <w:spacing w:after="0"/>
        <w:ind w:left="360"/>
        <w:jc w:val="center"/>
        <w:outlineLvl w:val="0"/>
        <w:rPr>
          <w:rFonts w:ascii="Arial" w:eastAsia="Arial" w:hAnsi="Arial" w:cs="Arial"/>
          <w:b/>
          <w:caps/>
          <w:sz w:val="24"/>
          <w:szCs w:val="32"/>
        </w:rPr>
      </w:pPr>
      <w:bookmarkStart w:id="9" w:name="_PAR__9_bac8ffbb_e742_4632_8325_5353f60a"/>
      <w:bookmarkEnd w:id="8"/>
      <w:r>
        <w:rPr>
          <w:rFonts w:ascii="Arial" w:eastAsia="Arial" w:hAnsi="Arial" w:cs="Arial"/>
          <w:b/>
          <w:caps/>
          <w:sz w:val="24"/>
          <w:szCs w:val="32"/>
        </w:rPr>
        <w:t>First Special Session</w:t>
      </w:r>
    </w:p>
    <w:p w:rsidR="00A85BD4" w:rsidP="00A85BD4">
      <w:pPr>
        <w:spacing w:before="400" w:after="200"/>
        <w:ind w:left="360" w:firstLine="360"/>
        <w:rPr>
          <w:rFonts w:ascii="Arial" w:eastAsia="Arial" w:hAnsi="Arial" w:cs="Arial"/>
        </w:rPr>
      </w:pPr>
      <w:bookmarkStart w:id="10" w:name="_PAR__10_22a0c664_03af_4b1b_9f7f_10e3f8b"/>
      <w:bookmarkEnd w:id="9"/>
      <w:r>
        <w:rPr>
          <w:rFonts w:ascii="Arial" w:eastAsia="Arial" w:hAnsi="Arial" w:cs="Arial"/>
          <w:szCs w:val="22"/>
        </w:rPr>
        <w:t>COMMITTEE AMENDMENT “      ” to H.P. 369, L.D. 574, “An Act to Amend the Laws Governing Working Waterfront Covenants”</w:t>
      </w:r>
    </w:p>
    <w:p w:rsidR="00A85BD4" w:rsidP="00A85BD4">
      <w:pPr>
        <w:ind w:left="360" w:firstLine="360"/>
        <w:rPr>
          <w:rFonts w:ascii="Arial" w:eastAsia="Arial" w:hAnsi="Arial" w:cs="Arial"/>
        </w:rPr>
      </w:pPr>
      <w:bookmarkStart w:id="11" w:name="_INSTRUCTION__c638b967_ee04_40ad_9eed_e3"/>
      <w:bookmarkStart w:id="12" w:name="_PAR__11_15de1ba7_249d_4671_bb92_c9a0afa"/>
      <w:bookmarkEnd w:id="0"/>
      <w:bookmarkEnd w:id="10"/>
      <w:r>
        <w:rPr>
          <w:rFonts w:ascii="Arial" w:eastAsia="Arial" w:hAnsi="Arial" w:cs="Arial"/>
        </w:rPr>
        <w:t>Amend the bill by striking out everything after the enacting clause and inserting the following:</w:t>
      </w:r>
    </w:p>
    <w:p w:rsidR="00A85BD4" w:rsidP="00A85BD4">
      <w:pPr>
        <w:ind w:left="360" w:firstLine="360"/>
        <w:rPr>
          <w:rFonts w:ascii="Arial" w:eastAsia="Arial" w:hAnsi="Arial" w:cs="Arial"/>
        </w:rPr>
      </w:pPr>
      <w:bookmarkStart w:id="13" w:name="_PAR__12_eee4df13_5730_43be_bd72_ea45449"/>
      <w:bookmarkEnd w:id="12"/>
      <w:r>
        <w:rPr>
          <w:rFonts w:ascii="Arial" w:eastAsia="Arial" w:hAnsi="Arial" w:cs="Arial"/>
        </w:rPr>
        <w:t>'</w:t>
      </w:r>
      <w:r>
        <w:rPr>
          <w:rFonts w:ascii="Arial" w:eastAsia="Arial" w:hAnsi="Arial" w:cs="Arial"/>
          <w:b/>
          <w:sz w:val="24"/>
        </w:rPr>
        <w:t>Sec. 1.  33 MRSA §131, sub-§2,</w:t>
      </w:r>
      <w:r>
        <w:rPr>
          <w:rFonts w:ascii="Arial" w:eastAsia="Arial" w:hAnsi="Arial" w:cs="Arial"/>
        </w:rPr>
        <w:t xml:space="preserve"> as enacted by PL 2005, c. 574, §1, is repealed and the following enacted in its place:</w:t>
      </w:r>
    </w:p>
    <w:p w:rsidR="00A85BD4" w:rsidP="00A85BD4">
      <w:pPr>
        <w:ind w:left="360" w:firstLine="360"/>
        <w:rPr>
          <w:rFonts w:ascii="Arial" w:eastAsia="Arial" w:hAnsi="Arial" w:cs="Arial"/>
        </w:rPr>
      </w:pPr>
      <w:bookmarkStart w:id="14" w:name="_PAR__13_bbee33a0_a453_4590_9e50_297a5e1"/>
      <w:bookmarkEnd w:id="13"/>
      <w:r>
        <w:rPr>
          <w:rFonts w:ascii="Arial" w:eastAsia="Arial" w:hAnsi="Arial" w:cs="Arial"/>
          <w:b/>
          <w:u w:val="single"/>
        </w:rPr>
        <w:t xml:space="preserve">2.  Qualified holder. </w:t>
      </w:r>
      <w:r>
        <w:rPr>
          <w:rFonts w:ascii="Arial" w:eastAsia="Arial" w:hAnsi="Arial" w:cs="Arial"/>
          <w:u w:val="single"/>
        </w:rPr>
        <w:t xml:space="preserve"> "Qualified holder" or "holder" means:</w:t>
      </w:r>
    </w:p>
    <w:p w:rsidR="00A85BD4" w:rsidP="00A85BD4">
      <w:pPr>
        <w:ind w:left="720"/>
        <w:rPr>
          <w:rFonts w:ascii="Arial" w:eastAsia="Arial" w:hAnsi="Arial" w:cs="Arial"/>
        </w:rPr>
      </w:pPr>
      <w:bookmarkStart w:id="15" w:name="_PAR__14_66d8deda_9048_48c6_9cee_a57ccc0"/>
      <w:bookmarkEnd w:id="14"/>
      <w:r>
        <w:rPr>
          <w:rFonts w:ascii="Arial" w:eastAsia="Arial" w:hAnsi="Arial" w:cs="Arial"/>
          <w:u w:val="single"/>
        </w:rPr>
        <w:t>A.  A governmental entity authorized to hold an interest in real property;</w:t>
      </w:r>
    </w:p>
    <w:p w:rsidR="00A85BD4" w:rsidP="00A85BD4">
      <w:pPr>
        <w:ind w:left="720"/>
        <w:rPr>
          <w:rFonts w:ascii="Arial" w:eastAsia="Arial" w:hAnsi="Arial" w:cs="Arial"/>
        </w:rPr>
      </w:pPr>
      <w:bookmarkStart w:id="16" w:name="_PAR__15_f4ac259d_5976_4480_b59d_21fa3fb"/>
      <w:bookmarkEnd w:id="15"/>
      <w:r>
        <w:rPr>
          <w:rFonts w:ascii="Arial" w:eastAsia="Arial" w:hAnsi="Arial" w:cs="Arial"/>
          <w:u w:val="single"/>
        </w:rPr>
        <w:t>B.  A nonprofit organization organized under state law whose purposes include the permanent protection of working waterfront or the enlargement of working waterfront opportunities for commercial fisheries businesses; or</w:t>
      </w:r>
    </w:p>
    <w:p w:rsidR="00A85BD4" w:rsidP="00A85BD4">
      <w:pPr>
        <w:ind w:left="720"/>
        <w:rPr>
          <w:rFonts w:ascii="Arial" w:eastAsia="Arial" w:hAnsi="Arial" w:cs="Arial"/>
        </w:rPr>
      </w:pPr>
      <w:bookmarkStart w:id="17" w:name="_PAR__16_fa4b9739_6755_4352_9a05_49ac14c"/>
      <w:bookmarkEnd w:id="16"/>
      <w:r>
        <w:rPr>
          <w:rFonts w:ascii="Arial" w:eastAsia="Arial" w:hAnsi="Arial" w:cs="Arial"/>
          <w:u w:val="single"/>
        </w:rPr>
        <w:t>C.  A nonprofit organization organized under state law whose purposes or powers include retaining or protecting coastal community values, culture or heritage, coastal habitat or real property that provides coastal water access.</w:t>
      </w:r>
      <w:r>
        <w:rPr>
          <w:rFonts w:ascii="Arial" w:eastAsia="Arial" w:hAnsi="Arial" w:cs="Arial"/>
        </w:rPr>
        <w:t>'</w:t>
      </w:r>
    </w:p>
    <w:p w:rsidR="00A85BD4" w:rsidP="00A85BD4">
      <w:pPr>
        <w:ind w:left="360" w:firstLine="360"/>
        <w:rPr>
          <w:rFonts w:ascii="Arial" w:eastAsia="Arial" w:hAnsi="Arial" w:cs="Arial"/>
        </w:rPr>
      </w:pPr>
      <w:bookmarkStart w:id="18" w:name="_INSTRUCTION__290d5513_0210_432a_b328_e8"/>
      <w:bookmarkStart w:id="19" w:name="_PAR__17_1ec47bd7_c705_40ca_8413_a52e944"/>
      <w:bookmarkEnd w:id="11"/>
      <w:bookmarkEnd w:id="17"/>
      <w:r>
        <w:rPr>
          <w:rFonts w:ascii="Arial" w:eastAsia="Arial" w:hAnsi="Arial" w:cs="Arial"/>
        </w:rPr>
        <w:t>Amend the bill by relettering or renumbering any nonconsecutive Part letter or section number to read consecutively.</w:t>
      </w:r>
    </w:p>
    <w:p w:rsidR="00A85BD4" w:rsidP="00A85BD4">
      <w:pPr>
        <w:keepNext/>
        <w:spacing w:before="240"/>
        <w:ind w:left="360"/>
        <w:jc w:val="center"/>
        <w:rPr>
          <w:rFonts w:ascii="Arial" w:eastAsia="Arial" w:hAnsi="Arial" w:cs="Arial"/>
        </w:rPr>
      </w:pPr>
      <w:bookmarkStart w:id="20" w:name="_SUMMARY__127d1957_75e9_4444_992b_16baed"/>
      <w:bookmarkStart w:id="21" w:name="_PAR__18_d9f24668_8711_4252_99cd_63def1e"/>
      <w:bookmarkEnd w:id="18"/>
      <w:bookmarkEnd w:id="19"/>
      <w:r>
        <w:rPr>
          <w:rFonts w:ascii="Arial" w:eastAsia="Arial" w:hAnsi="Arial" w:cs="Arial"/>
          <w:b/>
          <w:sz w:val="24"/>
        </w:rPr>
        <w:t>SUMMARY</w:t>
      </w:r>
    </w:p>
    <w:p w:rsidR="00000000" w:rsidP="00A85BD4">
      <w:pPr>
        <w:ind w:left="360" w:firstLine="360"/>
        <w:rPr>
          <w:rFonts w:ascii="Arial" w:eastAsia="Arial" w:hAnsi="Arial" w:cs="Arial"/>
        </w:rPr>
      </w:pPr>
      <w:bookmarkStart w:id="22" w:name="_PAR__19_7b9a55d9_d493_4c23_ba95_9d496f2"/>
      <w:bookmarkEnd w:id="21"/>
      <w:r>
        <w:rPr>
          <w:rFonts w:ascii="Arial" w:eastAsia="Arial" w:hAnsi="Arial" w:cs="Arial"/>
        </w:rPr>
        <w:t>This amendment replaces the bill. It allows certain nonprofit organizations whose purposes or powers include retaining or protecting coastal community values, culture or heritage, coastal habitat or real property that provides coastal water access to hold working waterfront covenants.</w:t>
      </w:r>
      <w:bookmarkEnd w:id="1"/>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Working Waterfront Covenants</w:t>
    </w:r>
  </w:p>
  <w:p>
    <w:pPr>
      <w:suppressLineNumbers/>
      <w:spacing w:before="0" w:after="0"/>
      <w:jc w:val="center"/>
      <w:rPr>
        <w:rFonts w:ascii="Arial" w:eastAsia="Arial" w:hAnsi="Arial" w:cs="Arial"/>
      </w:rPr>
    </w:pPr>
    <w:r>
      <w:rPr>
        <w:rFonts w:ascii="Arial" w:eastAsia="Arial" w:hAnsi="Arial" w:cs="Arial"/>
        <w:sz w:val="22"/>
      </w:rPr>
      <w:t>L.D. 574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85BD4"/>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