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for an Electronic Permit for the Disposition of Human Remains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282 - L.D. 465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for an Electronic Permit for the Disposition of Human Remains</w:t>
      </w:r>
    </w:p>
    <w:p w:rsidR="00BE1825" w:rsidP="00BE1825">
      <w:pPr>
        <w:ind w:left="360"/>
        <w:rPr>
          <w:rFonts w:ascii="Arial" w:eastAsia="Arial" w:hAnsi="Arial" w:cs="Arial"/>
        </w:rPr>
      </w:pPr>
      <w:bookmarkStart w:id="0" w:name="_ENACTING_CLAUSE__bd877660_0fcc_452a_84c"/>
      <w:bookmarkStart w:id="1" w:name="_PAR__1_3605a10b_1122_42de_a4f6_eda80a8f"/>
      <w:bookmarkStart w:id="2" w:name="_DOC_BODY_CONTAINER__2229ec58_a249_4a28_"/>
      <w:r>
        <w:rPr>
          <w:rFonts w:ascii="Arial" w:eastAsia="Arial" w:hAnsi="Arial" w:cs="Arial"/>
          <w:b/>
        </w:rPr>
        <w:t>Be it enacted by the People of the State of Maine as follows:</w:t>
      </w:r>
    </w:p>
    <w:p w:rsidR="00BE1825" w:rsidP="00BE1825">
      <w:pPr>
        <w:ind w:left="360" w:firstLine="360"/>
        <w:rPr>
          <w:rFonts w:ascii="Arial" w:eastAsia="Arial" w:hAnsi="Arial" w:cs="Arial"/>
        </w:rPr>
      </w:pPr>
      <w:bookmarkStart w:id="3" w:name="_BILL_SECTION_HEADER__0aac1d88_d29b_4f2d"/>
      <w:bookmarkStart w:id="4" w:name="_PAR__2_60b6cd87_3828_4f89_b3e0_fc26708b"/>
      <w:bookmarkStart w:id="5" w:name="_BILL_SECTION__50f398e7_e4a1_44fd_9602_e"/>
      <w:bookmarkStart w:id="6" w:name="_DOC_BODY_CONTENT__dd68c5b0_c472_44e9_99"/>
      <w:bookmarkEnd w:id="0"/>
      <w:bookmarkEnd w:id="1"/>
      <w:r>
        <w:rPr>
          <w:rFonts w:ascii="Arial" w:eastAsia="Arial" w:hAnsi="Arial" w:cs="Arial"/>
          <w:b/>
          <w:sz w:val="24"/>
        </w:rPr>
        <w:t xml:space="preserve">Sec. </w:t>
      </w:r>
      <w:bookmarkStart w:id="7" w:name="_BILL_SECTION_NUMBER__70c02867_8f5c_4a56"/>
      <w:r>
        <w:rPr>
          <w:rFonts w:ascii="Arial" w:eastAsia="Arial" w:hAnsi="Arial" w:cs="Arial"/>
          <w:b/>
          <w:sz w:val="24"/>
        </w:rPr>
        <w:t>1</w:t>
      </w:r>
      <w:bookmarkEnd w:id="7"/>
      <w:r>
        <w:rPr>
          <w:rFonts w:ascii="Arial" w:eastAsia="Arial" w:hAnsi="Arial" w:cs="Arial"/>
          <w:b/>
          <w:sz w:val="24"/>
        </w:rPr>
        <w:t>.  22 MRSA §2843, 2nd ¶,</w:t>
      </w:r>
      <w:r>
        <w:rPr>
          <w:rFonts w:ascii="Arial" w:eastAsia="Arial" w:hAnsi="Arial" w:cs="Arial"/>
        </w:rPr>
        <w:t xml:space="preserve"> as amended by PL 2009, c. 601, §27, is further amended to read:</w:t>
      </w:r>
    </w:p>
    <w:p w:rsidR="00BE1825" w:rsidP="00BE1825">
      <w:pPr>
        <w:ind w:left="360" w:firstLine="360"/>
        <w:rPr>
          <w:rFonts w:ascii="Arial" w:eastAsia="Arial" w:hAnsi="Arial" w:cs="Arial"/>
        </w:rPr>
      </w:pPr>
      <w:bookmarkStart w:id="8" w:name="_STATUTE_CONTENT__b745c28e_12a2_406a_a0a"/>
      <w:bookmarkStart w:id="9" w:name="_STATUTE_P__d2815ee5_a29f_4b39_8607_7b3f"/>
      <w:bookmarkStart w:id="10" w:name="_PAR__3_79c9a51d_abcf_4de8_bd8a_2d08919c"/>
      <w:bookmarkEnd w:id="3"/>
      <w:bookmarkEnd w:id="4"/>
      <w:r>
        <w:rPr>
          <w:rFonts w:ascii="Arial" w:eastAsia="Arial" w:hAnsi="Arial" w:cs="Arial"/>
        </w:rPr>
        <w:t>The State Registrar of Vital Statistics</w:t>
      </w:r>
      <w:r>
        <w:rPr>
          <w:rFonts w:ascii="Arial" w:eastAsia="Arial" w:hAnsi="Arial" w:cs="Arial"/>
          <w:u w:val="single"/>
        </w:rPr>
        <w:t>,</w:t>
      </w:r>
      <w:r>
        <w:rPr>
          <w:rFonts w:ascii="Arial" w:eastAsia="Arial" w:hAnsi="Arial" w:cs="Arial"/>
        </w:rPr>
        <w:t xml:space="preserve"> </w:t>
      </w:r>
      <w:r>
        <w:rPr>
          <w:rFonts w:ascii="Arial" w:eastAsia="Arial" w:hAnsi="Arial" w:cs="Arial"/>
          <w:strike/>
        </w:rPr>
        <w:t>or</w:t>
      </w:r>
      <w:r>
        <w:rPr>
          <w:rFonts w:ascii="Arial" w:eastAsia="Arial" w:hAnsi="Arial" w:cs="Arial"/>
        </w:rPr>
        <w:t xml:space="preserve"> a municipal clerk </w:t>
      </w:r>
      <w:r>
        <w:rPr>
          <w:rFonts w:ascii="Arial" w:eastAsia="Arial" w:hAnsi="Arial" w:cs="Arial"/>
          <w:u w:val="single"/>
        </w:rPr>
        <w:t xml:space="preserve">or a </w:t>
      </w:r>
      <w:r>
        <w:rPr>
          <w:rFonts w:ascii="Arial" w:eastAsia="Arial" w:hAnsi="Arial" w:cs="Arial"/>
          <w:u w:val="single"/>
        </w:rPr>
        <w:t>subregistrar</w:t>
      </w:r>
      <w:r>
        <w:rPr>
          <w:rFonts w:ascii="Arial" w:eastAsia="Arial" w:hAnsi="Arial" w:cs="Arial"/>
        </w:rPr>
        <w:t xml:space="preserve"> may issue a permit for final disposition by cremation, burial at sea, use by medical science or removal from the State only upon receipt of a certificate of release by a duly appointed medical examiner as specified in </w:t>
      </w:r>
      <w:bookmarkStart w:id="11" w:name="_CROSS_REFERENCE__ee7986e8_36e5_4652_89e"/>
      <w:r>
        <w:rPr>
          <w:rFonts w:ascii="Arial" w:eastAsia="Arial" w:hAnsi="Arial" w:cs="Arial"/>
        </w:rPr>
        <w:t>Title 32, section 1405</w:t>
      </w:r>
      <w:bookmarkEnd w:id="11"/>
      <w:r>
        <w:rPr>
          <w:rFonts w:ascii="Arial" w:eastAsia="Arial" w:hAnsi="Arial" w:cs="Arial"/>
        </w:rPr>
        <w:t>.</w:t>
      </w:r>
      <w:bookmarkEnd w:id="8"/>
    </w:p>
    <w:p w:rsidR="00BE1825" w:rsidP="00BE1825">
      <w:pPr>
        <w:ind w:left="360" w:firstLine="360"/>
        <w:rPr>
          <w:rFonts w:ascii="Arial" w:eastAsia="Arial" w:hAnsi="Arial" w:cs="Arial"/>
        </w:rPr>
      </w:pPr>
      <w:bookmarkStart w:id="12" w:name="_BILL_SECTION_HEADER__babbff3c_998b_4ed2"/>
      <w:bookmarkStart w:id="13" w:name="_BILL_SECTION__85bfd19c_c440_4c6d_b155_4"/>
      <w:bookmarkStart w:id="14" w:name="_PAR__4_f60d5ad4_141f_4a11_88ee_fdf680f3"/>
      <w:bookmarkEnd w:id="5"/>
      <w:bookmarkEnd w:id="9"/>
      <w:bookmarkEnd w:id="10"/>
      <w:r>
        <w:rPr>
          <w:rFonts w:ascii="Arial" w:eastAsia="Arial" w:hAnsi="Arial" w:cs="Arial"/>
          <w:b/>
          <w:sz w:val="24"/>
        </w:rPr>
        <w:t xml:space="preserve">Sec. </w:t>
      </w:r>
      <w:bookmarkStart w:id="15" w:name="_BILL_SECTION_NUMBER__2d349c64_7d14_4bf6"/>
      <w:r>
        <w:rPr>
          <w:rFonts w:ascii="Arial" w:eastAsia="Arial" w:hAnsi="Arial" w:cs="Arial"/>
          <w:b/>
          <w:sz w:val="24"/>
        </w:rPr>
        <w:t>2</w:t>
      </w:r>
      <w:bookmarkEnd w:id="15"/>
      <w:r>
        <w:rPr>
          <w:rFonts w:ascii="Arial" w:eastAsia="Arial" w:hAnsi="Arial" w:cs="Arial"/>
          <w:b/>
          <w:sz w:val="24"/>
        </w:rPr>
        <w:t>.  22 MRSA §2843, 3rd ¶,</w:t>
      </w:r>
      <w:r>
        <w:rPr>
          <w:rFonts w:ascii="Arial" w:eastAsia="Arial" w:hAnsi="Arial" w:cs="Arial"/>
        </w:rPr>
        <w:t xml:space="preserve"> as amended by PL 2009, c. 601, §27, is repealed.</w:t>
      </w:r>
    </w:p>
    <w:p w:rsidR="00BE1825" w:rsidP="00BE1825">
      <w:pPr>
        <w:ind w:left="360" w:firstLine="360"/>
        <w:rPr>
          <w:rFonts w:ascii="Arial" w:eastAsia="Arial" w:hAnsi="Arial" w:cs="Arial"/>
        </w:rPr>
      </w:pPr>
      <w:bookmarkStart w:id="16" w:name="_BILL_SECTION_HEADER__a2ba7b4d_2774_4407"/>
      <w:bookmarkStart w:id="17" w:name="_PAR__5_ebaf7d3c_34de_48ae_9db9_a3f3c0d9"/>
      <w:bookmarkStart w:id="18" w:name="_BILL_SECTION__fb7fd6a6_ceca_4da1_a4a2_2"/>
      <w:bookmarkEnd w:id="12"/>
      <w:bookmarkEnd w:id="13"/>
      <w:bookmarkEnd w:id="14"/>
      <w:r>
        <w:rPr>
          <w:rFonts w:ascii="Arial" w:eastAsia="Arial" w:hAnsi="Arial" w:cs="Arial"/>
          <w:b/>
          <w:sz w:val="24"/>
        </w:rPr>
        <w:t xml:space="preserve">Sec. </w:t>
      </w:r>
      <w:bookmarkStart w:id="19" w:name="_BILL_SECTION_NUMBER__378fd28c_6f72_46d6"/>
      <w:r>
        <w:rPr>
          <w:rFonts w:ascii="Arial" w:eastAsia="Arial" w:hAnsi="Arial" w:cs="Arial"/>
          <w:b/>
          <w:sz w:val="24"/>
        </w:rPr>
        <w:t>3</w:t>
      </w:r>
      <w:bookmarkEnd w:id="19"/>
      <w:r>
        <w:rPr>
          <w:rFonts w:ascii="Arial" w:eastAsia="Arial" w:hAnsi="Arial" w:cs="Arial"/>
          <w:b/>
          <w:sz w:val="24"/>
        </w:rPr>
        <w:t>.  22 MRSA §2843, sub-§3,</w:t>
      </w:r>
      <w:r>
        <w:rPr>
          <w:rFonts w:ascii="Arial" w:eastAsia="Arial" w:hAnsi="Arial" w:cs="Arial"/>
        </w:rPr>
        <w:t xml:space="preserve"> as amended by PL 2013, c. 20, §1, is further amended to read:</w:t>
      </w:r>
    </w:p>
    <w:p w:rsidR="00BE1825" w:rsidP="00BE1825">
      <w:pPr>
        <w:ind w:left="360" w:firstLine="360"/>
        <w:rPr>
          <w:rFonts w:ascii="Arial" w:eastAsia="Arial" w:hAnsi="Arial" w:cs="Arial"/>
        </w:rPr>
      </w:pPr>
      <w:bookmarkStart w:id="20" w:name="_STATUTE_NUMBER__458e2955_1c45_45e8_a79d"/>
      <w:bookmarkStart w:id="21" w:name="_STATUTE_SS__eb93ccc2_aba5_403d_a240_ea2"/>
      <w:bookmarkStart w:id="22" w:name="_PAR__6_b004d0d1_64e9_4a8d_b7a1_d18b0d3b"/>
      <w:bookmarkEnd w:id="16"/>
      <w:bookmarkEnd w:id="17"/>
      <w:r>
        <w:rPr>
          <w:rFonts w:ascii="Arial" w:eastAsia="Arial" w:hAnsi="Arial" w:cs="Arial"/>
          <w:b/>
        </w:rPr>
        <w:t>3</w:t>
      </w:r>
      <w:bookmarkEnd w:id="20"/>
      <w:r>
        <w:rPr>
          <w:rFonts w:ascii="Arial" w:eastAsia="Arial" w:hAnsi="Arial" w:cs="Arial"/>
          <w:b/>
        </w:rPr>
        <w:t xml:space="preserve">.  </w:t>
      </w:r>
      <w:bookmarkStart w:id="23" w:name="_STATUTE_HEADNOTE__39f97324_8e90_4402_9f"/>
      <w:r>
        <w:rPr>
          <w:rFonts w:ascii="Arial" w:eastAsia="Arial" w:hAnsi="Arial" w:cs="Arial"/>
          <w:b/>
        </w:rPr>
        <w:t>Permit for burial.</w:t>
      </w:r>
      <w:bookmarkEnd w:id="23"/>
      <w:r>
        <w:rPr>
          <w:rFonts w:ascii="Arial" w:eastAsia="Arial" w:hAnsi="Arial" w:cs="Arial"/>
          <w:b/>
        </w:rPr>
        <w:t xml:space="preserve"> </w:t>
      </w:r>
      <w:r>
        <w:rPr>
          <w:rFonts w:ascii="Arial" w:eastAsia="Arial" w:hAnsi="Arial" w:cs="Arial"/>
        </w:rPr>
        <w:t xml:space="preserve"> </w:t>
      </w:r>
      <w:bookmarkStart w:id="24" w:name="_STATUTE_CONTENT__9714aad3_17f8_41d2_8b9"/>
      <w:r>
        <w:rPr>
          <w:rFonts w:ascii="Arial" w:eastAsia="Arial" w:hAnsi="Arial" w:cs="Arial"/>
        </w:rPr>
        <w:t xml:space="preserve">The </w:t>
      </w:r>
      <w:r>
        <w:rPr>
          <w:rFonts w:ascii="Arial" w:eastAsia="Arial" w:hAnsi="Arial" w:cs="Arial"/>
          <w:strike/>
        </w:rPr>
        <w:t>person in charge of each burying ground or</w:t>
      </w:r>
      <w:r>
        <w:rPr>
          <w:rFonts w:ascii="Arial" w:eastAsia="Arial" w:hAnsi="Arial" w:cs="Arial"/>
        </w:rPr>
        <w:t xml:space="preserve"> </w:t>
      </w:r>
      <w:r>
        <w:rPr>
          <w:rFonts w:ascii="Arial" w:eastAsia="Arial" w:hAnsi="Arial" w:cs="Arial"/>
          <w:u w:val="single"/>
        </w:rPr>
        <w:t>funeral director or authorized person present at the burial or</w:t>
      </w:r>
      <w:r>
        <w:rPr>
          <w:rFonts w:ascii="Arial" w:eastAsia="Arial" w:hAnsi="Arial" w:cs="Arial"/>
        </w:rPr>
        <w:t xml:space="preserve"> crematory in this State shall endorse </w:t>
      </w:r>
      <w:r>
        <w:rPr>
          <w:rFonts w:ascii="Arial" w:eastAsia="Arial" w:hAnsi="Arial" w:cs="Arial"/>
          <w:u w:val="single"/>
        </w:rPr>
        <w:t>or electronically affirm</w:t>
      </w:r>
      <w:r>
        <w:rPr>
          <w:rFonts w:ascii="Arial" w:eastAsia="Arial" w:hAnsi="Arial" w:cs="Arial"/>
        </w:rPr>
        <w:t xml:space="preserve">, and provide the date the body was </w:t>
      </w:r>
      <w:r>
        <w:rPr>
          <w:rFonts w:ascii="Arial" w:eastAsia="Arial" w:hAnsi="Arial" w:cs="Arial"/>
          <w:u w:val="single"/>
        </w:rPr>
        <w:t>or cremated remains were</w:t>
      </w:r>
      <w:r>
        <w:rPr>
          <w:rFonts w:ascii="Arial" w:eastAsia="Arial" w:hAnsi="Arial" w:cs="Arial"/>
        </w:rPr>
        <w:t xml:space="preserve"> disposed of on, each such permit with which that person is presented, and return it to the State Registrar of Vital Statistics</w:t>
      </w:r>
      <w:r w:rsidRPr="00336970">
        <w:rPr>
          <w:rFonts w:ascii="Arial" w:eastAsia="Arial" w:hAnsi="Arial" w:cs="Arial"/>
        </w:rPr>
        <w:t xml:space="preserve"> </w:t>
      </w:r>
      <w:r>
        <w:rPr>
          <w:rFonts w:ascii="Arial" w:eastAsia="Arial" w:hAnsi="Arial" w:cs="Arial"/>
        </w:rPr>
        <w:t xml:space="preserve">or to the clerk of the municipality in which </w:t>
      </w:r>
      <w:r>
        <w:rPr>
          <w:rFonts w:ascii="Arial" w:eastAsia="Arial" w:hAnsi="Arial" w:cs="Arial"/>
          <w:strike/>
        </w:rPr>
        <w:t>such</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burying ground or crematory is located within 7 days after the date of disposition. </w:t>
      </w:r>
      <w:r>
        <w:rPr>
          <w:rFonts w:ascii="Arial" w:eastAsia="Arial" w:hAnsi="Arial" w:cs="Arial"/>
          <w:strike/>
        </w:rPr>
        <w:t>If there is no person in charge of the burying ground, an official of the municipality in which the burying ground is located shall endorse, and provide the date the body was disposed of on, each such permit, and present it to the State Registrar of Vital Statistics or the clerk of the municipality.</w:t>
      </w:r>
      <w:r>
        <w:rPr>
          <w:rFonts w:ascii="Arial" w:eastAsia="Arial" w:hAnsi="Arial" w:cs="Arial"/>
        </w:rPr>
        <w:t xml:space="preserve">  The funeral director or authorized person shall present a copy of each permit, after endorsement </w:t>
      </w:r>
      <w:r>
        <w:rPr>
          <w:rFonts w:ascii="Arial" w:eastAsia="Arial" w:hAnsi="Arial" w:cs="Arial"/>
          <w:u w:val="single"/>
        </w:rPr>
        <w:t>or electronic affirmation</w:t>
      </w:r>
      <w:r>
        <w:rPr>
          <w:rFonts w:ascii="Arial" w:eastAsia="Arial" w:hAnsi="Arial" w:cs="Arial"/>
        </w:rPr>
        <w:t xml:space="preserve">, to the State Registrar of Vital Statistics </w:t>
      </w:r>
      <w:r>
        <w:rPr>
          <w:rFonts w:ascii="Arial" w:eastAsia="Arial" w:hAnsi="Arial" w:cs="Arial"/>
          <w:strike/>
        </w:rPr>
        <w:t>or the clerk of the municipality where death occurred and to the clerk who issued the permit</w:t>
      </w:r>
      <w:r>
        <w:rPr>
          <w:rFonts w:ascii="Arial" w:eastAsia="Arial" w:hAnsi="Arial" w:cs="Arial"/>
        </w:rPr>
        <w:t xml:space="preserve"> </w:t>
      </w:r>
      <w:r>
        <w:rPr>
          <w:rFonts w:ascii="Arial" w:eastAsia="Arial" w:hAnsi="Arial" w:cs="Arial"/>
          <w:u w:val="single"/>
        </w:rPr>
        <w:t xml:space="preserve">to be filed in the electronic death registration system </w:t>
      </w:r>
      <w:r>
        <w:rPr>
          <w:rFonts w:ascii="Arial" w:eastAsia="Arial" w:hAnsi="Arial" w:cs="Arial"/>
          <w:u w:val="single"/>
        </w:rPr>
        <w:t>authorized</w:t>
      </w:r>
      <w:r>
        <w:rPr>
          <w:rFonts w:ascii="Arial" w:eastAsia="Arial" w:hAnsi="Arial" w:cs="Arial"/>
          <w:u w:val="single"/>
        </w:rPr>
        <w:t xml:space="preserve"> pursuant to section 2847</w:t>
      </w:r>
      <w:r>
        <w:rPr>
          <w:rFonts w:ascii="Arial" w:eastAsia="Arial" w:hAnsi="Arial" w:cs="Arial"/>
        </w:rPr>
        <w:t xml:space="preserve">.  </w:t>
      </w:r>
      <w:r>
        <w:rPr>
          <w:rFonts w:ascii="Arial" w:eastAsia="Arial" w:hAnsi="Arial" w:cs="Arial"/>
          <w:u w:val="single"/>
        </w:rPr>
        <w:t>The State Registrar of Vital Statistics shall adopt rules to implement this subsection.  Rules adopted pursuant to this subsection are routin</w:t>
      </w:r>
      <w:r>
        <w:rPr>
          <w:rFonts w:ascii="Arial" w:eastAsia="Arial" w:hAnsi="Arial" w:cs="Arial"/>
          <w:u w:val="single"/>
        </w:rPr>
        <w:t>e technical rules as defined in Title 5, chapter 375, subchapter 2-A.</w:t>
      </w:r>
      <w:bookmarkEnd w:id="24"/>
    </w:p>
    <w:p w:rsidR="00BE1825" w:rsidP="00BE1825">
      <w:pPr>
        <w:ind w:left="360" w:firstLine="360"/>
        <w:rPr>
          <w:rFonts w:ascii="Arial" w:eastAsia="Arial" w:hAnsi="Arial" w:cs="Arial"/>
        </w:rPr>
      </w:pPr>
      <w:bookmarkStart w:id="25" w:name="_BILL_SECTION_HEADER__10f6f966_38e6_42f7"/>
      <w:bookmarkStart w:id="26" w:name="_BILL_SECTION__36ccb272_4456_4a5f_938e_f"/>
      <w:bookmarkStart w:id="27" w:name="_PAR__7_5f7b88f0_6fcf_4c2d_a9bb_154b84b9"/>
      <w:bookmarkEnd w:id="18"/>
      <w:bookmarkEnd w:id="21"/>
      <w:bookmarkEnd w:id="22"/>
      <w:r>
        <w:rPr>
          <w:rFonts w:ascii="Arial" w:eastAsia="Arial" w:hAnsi="Arial" w:cs="Arial"/>
          <w:b/>
          <w:sz w:val="24"/>
        </w:rPr>
        <w:t xml:space="preserve">Sec. </w:t>
      </w:r>
      <w:bookmarkStart w:id="28" w:name="_BILL_SECTION_NUMBER__4002342a_2b3c_45d9"/>
      <w:r>
        <w:rPr>
          <w:rFonts w:ascii="Arial" w:eastAsia="Arial" w:hAnsi="Arial" w:cs="Arial"/>
          <w:b/>
          <w:sz w:val="24"/>
        </w:rPr>
        <w:t>4</w:t>
      </w:r>
      <w:bookmarkEnd w:id="28"/>
      <w:r>
        <w:rPr>
          <w:rFonts w:ascii="Arial" w:eastAsia="Arial" w:hAnsi="Arial" w:cs="Arial"/>
          <w:b/>
          <w:sz w:val="24"/>
        </w:rPr>
        <w:t>.  22 MRSA §2843, sub-§3-A,</w:t>
      </w:r>
      <w:r>
        <w:rPr>
          <w:rFonts w:ascii="Arial" w:eastAsia="Arial" w:hAnsi="Arial" w:cs="Arial"/>
        </w:rPr>
        <w:t xml:space="preserve"> as amended by PL 2019, c. 257, §1, is repealed.</w:t>
      </w:r>
    </w:p>
    <w:p w:rsidR="00BE1825" w:rsidP="00BE1825">
      <w:pPr>
        <w:ind w:left="360" w:firstLine="360"/>
        <w:rPr>
          <w:rFonts w:ascii="Arial" w:eastAsia="Arial" w:hAnsi="Arial" w:cs="Arial"/>
        </w:rPr>
      </w:pPr>
      <w:bookmarkStart w:id="29" w:name="_BILL_SECTION_HEADER__5a7a7765_6e2a_4ad2"/>
      <w:bookmarkStart w:id="30" w:name="_PAR__8_fb234f57_328f_48c8_90cd_d21cb74d"/>
      <w:bookmarkStart w:id="31" w:name="_BILL_SECTION__26decbba_d125_4b48_aec1_1"/>
      <w:bookmarkEnd w:id="25"/>
      <w:bookmarkEnd w:id="26"/>
      <w:bookmarkEnd w:id="27"/>
      <w:r>
        <w:rPr>
          <w:rFonts w:ascii="Arial" w:eastAsia="Arial" w:hAnsi="Arial" w:cs="Arial"/>
          <w:b/>
          <w:sz w:val="24"/>
        </w:rPr>
        <w:t xml:space="preserve">Sec. </w:t>
      </w:r>
      <w:bookmarkStart w:id="32" w:name="_BILL_SECTION_NUMBER__1d94d704_d8ec_43d8"/>
      <w:r>
        <w:rPr>
          <w:rFonts w:ascii="Arial" w:eastAsia="Arial" w:hAnsi="Arial" w:cs="Arial"/>
          <w:b/>
          <w:sz w:val="24"/>
        </w:rPr>
        <w:t>5</w:t>
      </w:r>
      <w:bookmarkEnd w:id="32"/>
      <w:r>
        <w:rPr>
          <w:rFonts w:ascii="Arial" w:eastAsia="Arial" w:hAnsi="Arial" w:cs="Arial"/>
          <w:b/>
          <w:sz w:val="24"/>
        </w:rPr>
        <w:t>.  22 MRSA §2843, sub-§4,</w:t>
      </w:r>
      <w:r>
        <w:rPr>
          <w:rFonts w:ascii="Arial" w:eastAsia="Arial" w:hAnsi="Arial" w:cs="Arial"/>
        </w:rPr>
        <w:t xml:space="preserve"> as amended by PL 2019, c. 611, §1, is further amended to read:</w:t>
      </w:r>
    </w:p>
    <w:p w:rsidR="00000000" w:rsidP="00BE1825">
      <w:pPr>
        <w:ind w:left="360" w:firstLine="360"/>
        <w:rPr>
          <w:rFonts w:ascii="Arial" w:eastAsia="Arial" w:hAnsi="Arial" w:cs="Arial"/>
        </w:rPr>
      </w:pPr>
      <w:bookmarkStart w:id="33" w:name="_STATUTE_NUMBER__f45e0956_bcdf_4e33_b553"/>
      <w:bookmarkStart w:id="34" w:name="_STATUTE_SS__a6c15de3_f639_4d88_afca_4f5"/>
      <w:bookmarkStart w:id="35" w:name="_PAR__9_fa3f263d_76d1_45b3_b2cb_bb40ed27"/>
      <w:bookmarkEnd w:id="29"/>
      <w:bookmarkEnd w:id="30"/>
      <w:r>
        <w:rPr>
          <w:rFonts w:ascii="Arial" w:eastAsia="Arial" w:hAnsi="Arial" w:cs="Arial"/>
          <w:b/>
        </w:rPr>
        <w:t>4</w:t>
      </w:r>
      <w:bookmarkEnd w:id="33"/>
      <w:r>
        <w:rPr>
          <w:rFonts w:ascii="Arial" w:eastAsia="Arial" w:hAnsi="Arial" w:cs="Arial"/>
          <w:b/>
        </w:rPr>
        <w:t xml:space="preserve">.  </w:t>
      </w:r>
      <w:bookmarkStart w:id="36" w:name="_STATUTE_HEADNOTE__43f5c5e5_8939_407a_a5"/>
      <w:r>
        <w:rPr>
          <w:rFonts w:ascii="Arial" w:eastAsia="Arial" w:hAnsi="Arial" w:cs="Arial"/>
          <w:b/>
        </w:rPr>
        <w:t>Records.</w:t>
      </w:r>
      <w:bookmarkEnd w:id="36"/>
      <w:r>
        <w:rPr>
          <w:rFonts w:ascii="Arial" w:eastAsia="Arial" w:hAnsi="Arial" w:cs="Arial"/>
          <w:b/>
        </w:rPr>
        <w:t xml:space="preserve"> </w:t>
      </w:r>
      <w:r>
        <w:rPr>
          <w:rFonts w:ascii="Arial" w:eastAsia="Arial" w:hAnsi="Arial" w:cs="Arial"/>
        </w:rPr>
        <w:t xml:space="preserve"> </w:t>
      </w:r>
      <w:bookmarkStart w:id="37" w:name="_STATUTE_CONTENT__ea333b00_cc8e_4151_98e"/>
      <w:r>
        <w:rPr>
          <w:rFonts w:ascii="Arial" w:eastAsia="Arial" w:hAnsi="Arial" w:cs="Arial"/>
        </w:rPr>
        <w:t xml:space="preserve">Each municipality shall maintain a record of any endorsed </w:t>
      </w:r>
      <w:r>
        <w:rPr>
          <w:rFonts w:ascii="Arial" w:eastAsia="Arial" w:hAnsi="Arial" w:cs="Arial"/>
          <w:u w:val="single"/>
        </w:rPr>
        <w:t>or electronically affirmed</w:t>
      </w:r>
      <w:r>
        <w:rPr>
          <w:rFonts w:ascii="Arial" w:eastAsia="Arial" w:hAnsi="Arial" w:cs="Arial"/>
        </w:rPr>
        <w:t xml:space="preserve"> permit received pursuant to </w:t>
      </w:r>
      <w:bookmarkStart w:id="38" w:name="_CROSS_REFERENCE__ddae7703_a831_4a14_a97"/>
      <w:r>
        <w:rPr>
          <w:rFonts w:ascii="Arial" w:eastAsia="Arial" w:hAnsi="Arial" w:cs="Arial"/>
        </w:rPr>
        <w:t>subsection 3</w:t>
      </w:r>
      <w:bookmarkEnd w:id="38"/>
      <w:r>
        <w:rPr>
          <w:rFonts w:ascii="Arial" w:eastAsia="Arial" w:hAnsi="Arial" w:cs="Arial"/>
        </w:rPr>
        <w:t xml:space="preserve"> </w:t>
      </w:r>
      <w:r>
        <w:rPr>
          <w:rFonts w:ascii="Arial" w:eastAsia="Arial" w:hAnsi="Arial" w:cs="Arial"/>
          <w:strike/>
        </w:rPr>
        <w:t xml:space="preserve">or </w:t>
      </w:r>
      <w:bookmarkStart w:id="39" w:name="_CROSS_REFERENCE__85971afc_ffb6_4279_8ad"/>
      <w:r>
        <w:rPr>
          <w:rFonts w:ascii="Arial" w:eastAsia="Arial" w:hAnsi="Arial" w:cs="Arial"/>
          <w:strike/>
        </w:rPr>
        <w:t>3‑A</w:t>
      </w:r>
      <w:bookmarkEnd w:id="39"/>
      <w:r>
        <w:rPr>
          <w:rFonts w:ascii="Arial" w:eastAsia="Arial" w:hAnsi="Arial" w:cs="Arial"/>
        </w:rPr>
        <w:t xml:space="preserve"> in the electronic death registration system described in </w:t>
      </w:r>
      <w:bookmarkStart w:id="40" w:name="_CROSS_REFERENCE__6e87fd10_cebb_467d_944"/>
      <w:r>
        <w:rPr>
          <w:rFonts w:ascii="Arial" w:eastAsia="Arial" w:hAnsi="Arial" w:cs="Arial"/>
        </w:rPr>
        <w:t>section 2847</w:t>
      </w:r>
      <w:bookmarkEnd w:id="40"/>
      <w:r>
        <w:rPr>
          <w:rFonts w:ascii="Arial" w:eastAsia="Arial" w:hAnsi="Arial" w:cs="Arial"/>
        </w:rPr>
        <w:t xml:space="preserve">.  A copy of an endorsed </w:t>
      </w:r>
      <w:r>
        <w:rPr>
          <w:rFonts w:ascii="Arial" w:eastAsia="Arial" w:hAnsi="Arial" w:cs="Arial"/>
          <w:u w:val="single"/>
        </w:rPr>
        <w:t>or electronically affirmed</w:t>
      </w:r>
      <w:r>
        <w:rPr>
          <w:rFonts w:ascii="Arial" w:eastAsia="Arial" w:hAnsi="Arial" w:cs="Arial"/>
        </w:rPr>
        <w:t xml:space="preserve"> permit must be made available to a member of the public upon a request made to the municipal clerk.  The State Registrar of Vital Statistics may adopt routine technical rules pursuant to </w:t>
      </w:r>
      <w:bookmarkStart w:id="41" w:name="_CROSS_REFERENCE__d60910d3_5cfd_4cb3_93f"/>
      <w:r>
        <w:rPr>
          <w:rFonts w:ascii="Arial" w:eastAsia="Arial" w:hAnsi="Arial" w:cs="Arial"/>
        </w:rPr>
        <w:t>Title 5, chapter 375, subchapter 2‑A</w:t>
      </w:r>
      <w:bookmarkEnd w:id="41"/>
      <w:r>
        <w:rPr>
          <w:rFonts w:ascii="Arial" w:eastAsia="Arial" w:hAnsi="Arial" w:cs="Arial"/>
        </w:rPr>
        <w:t xml:space="preserve"> to carry out the purposes of this subsection.</w:t>
      </w:r>
      <w:bookmarkEnd w:id="37"/>
      <w:bookmarkEnd w:id="2"/>
      <w:bookmarkEnd w:id="6"/>
      <w:bookmarkEnd w:id="31"/>
      <w:bookmarkEnd w:id="34"/>
      <w:bookmarkEnd w:id="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LR1568,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for an Electronic Permit for the Disposition of Human Remains</w:t>
    </w:r>
  </w:p>
  <w:p>
    <w:pPr>
      <w:suppressLineNumbers/>
      <w:spacing w:before="0" w:after="0"/>
      <w:jc w:val="center"/>
      <w:rPr>
        <w:rFonts w:ascii="Arial" w:eastAsia="Arial" w:hAnsi="Arial" w:cs="Arial"/>
      </w:rPr>
    </w:pPr>
    <w:r>
      <w:rPr>
        <w:rFonts w:ascii="Arial" w:eastAsia="Arial" w:hAnsi="Arial" w:cs="Arial"/>
        <w:sz w:val="22"/>
      </w:rPr>
      <w:t>L.D. 465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36970"/>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1825"/>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