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Amend the Laws Governing Public Employee Market Pay Studies and Comprehensive Reviews of the Classification Plan for State Service Positions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Twenty-five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840 - L.D. 1265</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Amend the Laws Governing Public Employee Market Pay Studies and Comprehensive Reviews of the Classification Plan for State Service Positions</w:t>
      </w:r>
    </w:p>
    <w:p w:rsidR="00A670C2" w:rsidP="00A670C2">
      <w:pPr>
        <w:ind w:left="360"/>
        <w:rPr>
          <w:rFonts w:ascii="Arial" w:eastAsia="Arial" w:hAnsi="Arial" w:cs="Arial"/>
        </w:rPr>
      </w:pPr>
      <w:bookmarkStart w:id="0" w:name="_ENACTING_CLAUSE__5c6eb28f_7e41_4928_bac"/>
      <w:bookmarkStart w:id="1" w:name="_PAR__1_89ba788a_3ee1_4658_822e_b3868888"/>
      <w:bookmarkStart w:id="2" w:name="_DOC_BODY_CONTAINER__df888997_fb3b_4ba9_"/>
      <w:r>
        <w:rPr>
          <w:rFonts w:ascii="Arial" w:eastAsia="Arial" w:hAnsi="Arial" w:cs="Arial"/>
          <w:b/>
        </w:rPr>
        <w:t>Be it enacted by the People of the State of Maine as follows:</w:t>
      </w:r>
    </w:p>
    <w:p w:rsidR="00A670C2" w:rsidP="00A670C2">
      <w:pPr>
        <w:ind w:left="360" w:firstLine="360"/>
        <w:rPr>
          <w:rFonts w:ascii="Arial" w:eastAsia="Arial" w:hAnsi="Arial" w:cs="Arial"/>
        </w:rPr>
      </w:pPr>
      <w:bookmarkStart w:id="3" w:name="_BILL_SECTION_HEADER__ef6ea8eb_03a7_4406"/>
      <w:bookmarkStart w:id="4" w:name="_PAR__2_824f44a9_7951_4886_b3d3_c7159e8c"/>
      <w:bookmarkStart w:id="5" w:name="_BILL_SECTION__fcb90fb4_b106_4080_81c7_7"/>
      <w:bookmarkStart w:id="6" w:name="_DOC_BODY_CONTENT__ae024f77_f8d4_451d_ad"/>
      <w:bookmarkEnd w:id="0"/>
      <w:bookmarkEnd w:id="1"/>
      <w:r>
        <w:rPr>
          <w:rFonts w:ascii="Arial" w:eastAsia="Arial" w:hAnsi="Arial" w:cs="Arial"/>
          <w:b/>
          <w:sz w:val="24"/>
        </w:rPr>
        <w:t xml:space="preserve">Sec. </w:t>
      </w:r>
      <w:bookmarkStart w:id="7" w:name="_BILL_SECTION_NUMBER__06b80b78_e521_414f"/>
      <w:r>
        <w:rPr>
          <w:rFonts w:ascii="Arial" w:eastAsia="Arial" w:hAnsi="Arial" w:cs="Arial"/>
          <w:b/>
          <w:sz w:val="24"/>
        </w:rPr>
        <w:t>1</w:t>
      </w:r>
      <w:bookmarkEnd w:id="7"/>
      <w:r>
        <w:rPr>
          <w:rFonts w:ascii="Arial" w:eastAsia="Arial" w:hAnsi="Arial" w:cs="Arial"/>
          <w:b/>
          <w:sz w:val="24"/>
        </w:rPr>
        <w:t>.  5 MRSA §7061, sub-§4, ¶B,</w:t>
      </w:r>
      <w:r>
        <w:rPr>
          <w:rFonts w:ascii="Arial" w:eastAsia="Arial" w:hAnsi="Arial" w:cs="Arial"/>
        </w:rPr>
        <w:t xml:space="preserve"> as enacted by PL 2023, c. 412, Pt. UUU, §1, is amended to read:</w:t>
      </w:r>
    </w:p>
    <w:p w:rsidR="00A670C2" w:rsidP="00A670C2">
      <w:pPr>
        <w:ind w:left="720"/>
        <w:rPr>
          <w:rFonts w:ascii="Arial" w:eastAsia="Arial" w:hAnsi="Arial" w:cs="Arial"/>
        </w:rPr>
      </w:pPr>
      <w:bookmarkStart w:id="8" w:name="_STATUTE_NUMBER__59340945_bee4_41aa_8acc"/>
      <w:bookmarkStart w:id="9" w:name="_STATUTE_P__42130853_db80_475f_b4e3_ee09"/>
      <w:bookmarkStart w:id="10" w:name="_PAR__3_d9080333_54a2_4b37_860f_c890a24e"/>
      <w:bookmarkEnd w:id="3"/>
      <w:bookmarkEnd w:id="4"/>
      <w:r>
        <w:rPr>
          <w:rFonts w:ascii="Arial" w:eastAsia="Arial" w:hAnsi="Arial" w:cs="Arial"/>
        </w:rPr>
        <w:t>B</w:t>
      </w:r>
      <w:bookmarkEnd w:id="8"/>
      <w:r>
        <w:rPr>
          <w:rFonts w:ascii="Arial" w:eastAsia="Arial" w:hAnsi="Arial" w:cs="Arial"/>
        </w:rPr>
        <w:t xml:space="preserve">.  </w:t>
      </w:r>
      <w:bookmarkStart w:id="11" w:name="_STATUTE_CONTENT__a3683dbf_375b_40c6_a19"/>
      <w:r>
        <w:rPr>
          <w:rFonts w:ascii="Arial" w:eastAsia="Arial" w:hAnsi="Arial" w:cs="Arial"/>
        </w:rPr>
        <w:t xml:space="preserve">The procedure must provide for a market pay study every 4 years that compares the salaries of state employees with employees performing comparable work for a sampling of private and public employees in this State, other New England states and other states as appropriate. </w:t>
      </w:r>
      <w:r>
        <w:rPr>
          <w:rFonts w:ascii="Arial" w:eastAsia="Arial" w:hAnsi="Arial" w:cs="Arial"/>
          <w:u w:val="single"/>
        </w:rPr>
        <w:t>T</w:t>
      </w:r>
      <w:r>
        <w:rPr>
          <w:rFonts w:ascii="Arial" w:eastAsia="Arial" w:hAnsi="Arial" w:cs="Arial"/>
          <w:u w:val="single"/>
        </w:rPr>
        <w:t xml:space="preserve">he bureau shall issue a request for proposals and contract with an experienced contractor to complete </w:t>
      </w:r>
      <w:r>
        <w:rPr>
          <w:rFonts w:ascii="Arial" w:eastAsia="Arial" w:hAnsi="Arial" w:cs="Arial"/>
          <w:u w:val="single"/>
        </w:rPr>
        <w:t>a market pay study conducted pursuant to this paragraph</w:t>
      </w:r>
      <w:r>
        <w:rPr>
          <w:rFonts w:ascii="Arial" w:eastAsia="Arial" w:hAnsi="Arial" w:cs="Arial"/>
          <w:u w:val="single"/>
        </w:rPr>
        <w:t>.</w:t>
      </w:r>
      <w:r>
        <w:rPr>
          <w:rFonts w:ascii="Arial" w:eastAsia="Arial" w:hAnsi="Arial" w:cs="Arial"/>
        </w:rPr>
        <w:t xml:space="preserve"> The bureau shall submit </w:t>
      </w:r>
      <w:r>
        <w:rPr>
          <w:rFonts w:ascii="Arial" w:eastAsia="Arial" w:hAnsi="Arial" w:cs="Arial"/>
          <w:u w:val="single"/>
        </w:rPr>
        <w:t>the market pay study and</w:t>
      </w:r>
      <w:r>
        <w:rPr>
          <w:rFonts w:ascii="Arial" w:eastAsia="Arial" w:hAnsi="Arial" w:cs="Arial"/>
        </w:rPr>
        <w:t xml:space="preserve"> a report on the market pay study to the joint standing committee of the Legislature having jurisdiction over appropriations and financial affairs, the joint standing committee of the Legislature having jurisdiction over state and local government matters and the bargaining agents that represent a bargaining unit of state employees no later than September 30, 2024 and every 4 years thereafter.</w:t>
      </w:r>
      <w:bookmarkEnd w:id="11"/>
    </w:p>
    <w:p w:rsidR="00A670C2" w:rsidP="00A670C2">
      <w:pPr>
        <w:ind w:left="360" w:firstLine="360"/>
        <w:rPr>
          <w:rFonts w:ascii="Arial" w:eastAsia="Arial" w:hAnsi="Arial" w:cs="Arial"/>
        </w:rPr>
      </w:pPr>
      <w:bookmarkStart w:id="12" w:name="_BILL_SECTION_HEADER__2322d4cf_d307_4093"/>
      <w:bookmarkStart w:id="13" w:name="_PAR__4_9176dbcf_b717_44be_ae18_72feba7f"/>
      <w:bookmarkStart w:id="14" w:name="_BILL_SECTION__f4c7ce4c_ad74_47a5_b23f_c"/>
      <w:bookmarkEnd w:id="5"/>
      <w:bookmarkEnd w:id="9"/>
      <w:bookmarkEnd w:id="10"/>
      <w:r>
        <w:rPr>
          <w:rFonts w:ascii="Arial" w:eastAsia="Arial" w:hAnsi="Arial" w:cs="Arial"/>
          <w:b/>
          <w:sz w:val="24"/>
        </w:rPr>
        <w:t xml:space="preserve">Sec. </w:t>
      </w:r>
      <w:bookmarkStart w:id="15" w:name="_BILL_SECTION_NUMBER__083d8890_1e7c_438a"/>
      <w:r>
        <w:rPr>
          <w:rFonts w:ascii="Arial" w:eastAsia="Arial" w:hAnsi="Arial" w:cs="Arial"/>
          <w:b/>
          <w:sz w:val="24"/>
        </w:rPr>
        <w:t>2</w:t>
      </w:r>
      <w:bookmarkEnd w:id="15"/>
      <w:r>
        <w:rPr>
          <w:rFonts w:ascii="Arial" w:eastAsia="Arial" w:hAnsi="Arial" w:cs="Arial"/>
          <w:b/>
          <w:sz w:val="24"/>
        </w:rPr>
        <w:t>.  5 MRSA §7061, sub-§4, ¶C,</w:t>
      </w:r>
      <w:r>
        <w:rPr>
          <w:rFonts w:ascii="Arial" w:eastAsia="Arial" w:hAnsi="Arial" w:cs="Arial"/>
        </w:rPr>
        <w:t xml:space="preserve"> as enacted by PL 2023, c. 412, Pt. UUU, §1, is amended to read:</w:t>
      </w:r>
    </w:p>
    <w:p w:rsidR="00A670C2" w:rsidP="00A670C2">
      <w:pPr>
        <w:ind w:left="720"/>
        <w:rPr>
          <w:rFonts w:ascii="Arial" w:eastAsia="Arial" w:hAnsi="Arial" w:cs="Arial"/>
        </w:rPr>
      </w:pPr>
      <w:bookmarkStart w:id="16" w:name="_STATUTE_NUMBER__894b1eb7_c5a8_4bdb_b652"/>
      <w:bookmarkStart w:id="17" w:name="_STATUTE_P__814f45fd_48d3_4869_ab6d_473c"/>
      <w:bookmarkStart w:id="18" w:name="_PAR__5_7b4e36dd_2084_4c54_9381_d2ee0332"/>
      <w:bookmarkEnd w:id="12"/>
      <w:bookmarkEnd w:id="13"/>
      <w:r>
        <w:rPr>
          <w:rFonts w:ascii="Arial" w:eastAsia="Arial" w:hAnsi="Arial" w:cs="Arial"/>
        </w:rPr>
        <w:t>C</w:t>
      </w:r>
      <w:bookmarkEnd w:id="16"/>
      <w:r>
        <w:rPr>
          <w:rFonts w:ascii="Arial" w:eastAsia="Arial" w:hAnsi="Arial" w:cs="Arial"/>
        </w:rPr>
        <w:t xml:space="preserve">.  </w:t>
      </w:r>
      <w:bookmarkStart w:id="19" w:name="_STATUTE_CONTENT__a6675d42_982a_4b0c_8fe"/>
      <w:r>
        <w:rPr>
          <w:rFonts w:ascii="Arial" w:eastAsia="Arial" w:hAnsi="Arial" w:cs="Arial"/>
        </w:rPr>
        <w:t xml:space="preserve">Beginning in 2024, the procedure must provide for a comprehensive review of the classification plan every 10 years to make modifications and improvements as determined necessary. </w:t>
      </w:r>
      <w:r>
        <w:rPr>
          <w:rFonts w:ascii="Arial" w:eastAsia="Arial" w:hAnsi="Arial" w:cs="Arial"/>
          <w:u w:val="single"/>
        </w:rPr>
        <w:t xml:space="preserve">The bureau </w:t>
      </w:r>
      <w:r>
        <w:rPr>
          <w:rFonts w:ascii="Arial" w:eastAsia="Arial" w:hAnsi="Arial" w:cs="Arial"/>
          <w:u w:val="single"/>
        </w:rPr>
        <w:t>shall</w:t>
      </w:r>
      <w:r>
        <w:rPr>
          <w:rFonts w:ascii="Arial" w:eastAsia="Arial" w:hAnsi="Arial" w:cs="Arial"/>
          <w:u w:val="single"/>
        </w:rPr>
        <w:t xml:space="preserve"> issue a request for proposals and contract with an experienced contractor to complete these reviews.</w:t>
      </w:r>
      <w:bookmarkEnd w:id="19"/>
    </w:p>
    <w:p w:rsidR="00A670C2" w:rsidP="00A670C2">
      <w:pPr>
        <w:ind w:left="360" w:firstLine="360"/>
        <w:rPr>
          <w:rFonts w:ascii="Arial" w:eastAsia="Arial" w:hAnsi="Arial" w:cs="Arial"/>
        </w:rPr>
      </w:pPr>
      <w:bookmarkStart w:id="20" w:name="_BILL_SECTION_UNALLOCATED__79ce1504_27ad"/>
      <w:bookmarkStart w:id="21" w:name="_INSTRUCTION__7cfa5027_4052_41de_a1a6_dd"/>
      <w:bookmarkEnd w:id="14"/>
      <w:bookmarkEnd w:id="17"/>
      <w:bookmarkEnd w:id="18"/>
      <w:r w:rsidRPr="0061392B">
        <w:rPr>
          <w:rFonts w:ascii="Arial" w:eastAsia="Arial" w:hAnsi="Arial" w:cs="Arial"/>
          <w:b/>
          <w:sz w:val="24"/>
        </w:rPr>
        <w:t xml:space="preserve">Sec. </w:t>
      </w:r>
      <w:bookmarkStart w:id="22" w:name="_BILL_SECTION_NUMBER__80be94e7_7f48_43bf"/>
      <w:r w:rsidRPr="0061392B">
        <w:rPr>
          <w:rFonts w:ascii="Arial" w:eastAsia="Arial" w:hAnsi="Arial" w:cs="Arial"/>
          <w:b/>
          <w:sz w:val="24"/>
        </w:rPr>
        <w:t>3</w:t>
      </w:r>
      <w:bookmarkEnd w:id="22"/>
      <w:r w:rsidRPr="0061392B">
        <w:rPr>
          <w:rFonts w:ascii="Arial" w:eastAsia="Arial" w:hAnsi="Arial" w:cs="Arial"/>
          <w:b/>
          <w:sz w:val="24"/>
        </w:rPr>
        <w:t>.  Funds transfer.</w:t>
      </w:r>
      <w:r>
        <w:rPr>
          <w:rFonts w:ascii="Arial" w:eastAsia="Arial" w:hAnsi="Arial" w:cs="Arial"/>
        </w:rPr>
        <w:t xml:space="preserve">  Notwithstanding any provision of law to the contrary, the State Controller shall transfer $2,000,000 on or before June 30, 2027 from the Department of Administrative and Financial Services, Salary Plan program, General Fund account to the unappropriated surplus of the General Fund to provide funding to contract with contractors to complete market pay studies and reviews pursuant to the Maine Revised Statutes, Title 5, section 7061, subsection 4, paragraphs B and C.</w:t>
      </w:r>
    </w:p>
    <w:p w:rsidR="00A670C2" w:rsidP="00A670C2">
      <w:pPr>
        <w:ind w:left="360" w:firstLine="360"/>
        <w:rPr>
          <w:rFonts w:ascii="Arial" w:eastAsia="Arial" w:hAnsi="Arial" w:cs="Arial"/>
        </w:rPr>
      </w:pPr>
      <w:bookmarkStart w:id="23" w:name="_APPROP_SECTION__67b8d0f8_0729_4899_9bcc"/>
      <w:bookmarkStart w:id="24" w:name="_INSTRUCTION__880c3213_dd0c_40ac_8f64_d4"/>
      <w:bookmarkEnd w:id="20"/>
      <w:bookmarkEnd w:id="21"/>
      <w:r>
        <w:rPr>
          <w:rFonts w:ascii="Arial" w:eastAsia="Arial" w:hAnsi="Arial" w:cs="Arial"/>
          <w:b/>
          <w:sz w:val="24"/>
        </w:rPr>
        <w:t xml:space="preserve">Sec. </w:t>
      </w:r>
      <w:bookmarkStart w:id="25" w:name="_BILL_SECTION_NUMBER__60cd2a0c_c65b_4bf7"/>
      <w:r>
        <w:rPr>
          <w:rFonts w:ascii="Arial" w:eastAsia="Arial" w:hAnsi="Arial" w:cs="Arial"/>
          <w:b/>
          <w:sz w:val="24"/>
        </w:rPr>
        <w:t>4</w:t>
      </w:r>
      <w:bookmarkEnd w:id="25"/>
      <w:r>
        <w:rPr>
          <w:rFonts w:ascii="Arial" w:eastAsia="Arial" w:hAnsi="Arial" w:cs="Arial"/>
          <w:b/>
          <w:sz w:val="24"/>
        </w:rPr>
        <w:t>.  Appropriations and allocations.</w:t>
      </w:r>
      <w:r>
        <w:rPr>
          <w:rFonts w:ascii="Arial" w:eastAsia="Arial" w:hAnsi="Arial" w:cs="Arial"/>
        </w:rPr>
        <w:t>  The following appropriations and allocations are made.</w:t>
      </w:r>
    </w:p>
    <w:p w:rsidR="00A670C2" w:rsidP="00A670C2">
      <w:pPr>
        <w:pStyle w:val="BPSParagraphLeftAlign"/>
        <w:suppressAutoHyphens/>
        <w:ind w:left="360"/>
        <w:rPr>
          <w:rFonts w:ascii="Arial" w:eastAsia="Arial" w:hAnsi="Arial" w:cs="Arial"/>
        </w:rPr>
      </w:pPr>
      <w:r>
        <w:rPr>
          <w:rFonts w:ascii="Arial" w:eastAsia="Arial" w:hAnsi="Arial" w:cs="Arial"/>
          <w:b/>
        </w:rPr>
        <w:t>ADMINISTRATIVE AND FINANCIAL SERVICES, DEPARTMENT OF</w:t>
      </w:r>
    </w:p>
    <w:p w:rsidR="00A670C2" w:rsidP="00A670C2">
      <w:pPr>
        <w:pStyle w:val="BPSParagraphLeftAlign"/>
        <w:suppressAutoHyphens/>
        <w:ind w:left="360"/>
        <w:rPr>
          <w:rFonts w:ascii="Arial" w:eastAsia="Arial" w:hAnsi="Arial" w:cs="Arial"/>
        </w:rPr>
      </w:pPr>
      <w:r>
        <w:rPr>
          <w:rFonts w:ascii="Arial" w:eastAsia="Arial" w:hAnsi="Arial" w:cs="Arial"/>
          <w:b/>
        </w:rPr>
        <w:t>Administration - Human Resources 0038</w:t>
      </w:r>
    </w:p>
    <w:p w:rsidR="00A670C2" w:rsidP="00A670C2">
      <w:pPr>
        <w:ind w:left="360"/>
        <w:rPr>
          <w:rFonts w:ascii="Arial" w:eastAsia="Arial" w:hAnsi="Arial" w:cs="Arial"/>
        </w:rPr>
      </w:pPr>
      <w:r>
        <w:rPr>
          <w:rFonts w:ascii="Arial" w:eastAsia="Arial" w:hAnsi="Arial" w:cs="Arial"/>
        </w:rPr>
        <w:t>Initiative: Provides one-time funding to contract with a consultant to complete market pay studies and reviews prior to the report deadline of September 30, 2028.</w:t>
      </w:r>
    </w:p>
    <w:tbl>
      <w:tblPr>
        <w:tblStyle w:val="BPSTable"/>
        <w:tblW w:w="0" w:type="auto"/>
        <w:tblInd w:w="360" w:type="dxa"/>
        <w:tblCellMar>
          <w:left w:w="0" w:type="dxa"/>
          <w:right w:w="0" w:type="dxa"/>
        </w:tblCellMar>
        <w:tblLook w:val="04A0"/>
      </w:tblPr>
      <w:tblGrid>
        <w:gridCol w:w="5009"/>
        <w:gridCol w:w="1463"/>
        <w:gridCol w:w="1463"/>
      </w:tblGrid>
      <w:tr w:rsidTr="00066396">
        <w:tblPrEx>
          <w:tblW w:w="0" w:type="auto"/>
          <w:tblInd w:w="360" w:type="dxa"/>
          <w:tblCellMar>
            <w:left w:w="0" w:type="dxa"/>
            <w:right w:w="0" w:type="dxa"/>
          </w:tblCellMar>
          <w:tblLook w:val="04A0"/>
        </w:tblPrEx>
        <w:tc>
          <w:tcPr>
            <w:tcW w:w="5069" w:type="dxa"/>
          </w:tcPr>
          <w:p w:rsidR="00A670C2" w:rsidP="00066396">
            <w:pPr>
              <w:rPr>
                <w:rFonts w:ascii="Arial" w:eastAsia="Arial" w:hAnsi="Arial" w:cs="Arial"/>
              </w:rPr>
            </w:pPr>
            <w:r>
              <w:rPr>
                <w:rFonts w:ascii="Arial" w:eastAsia="Arial" w:hAnsi="Arial" w:cs="Arial"/>
                <w:b/>
              </w:rPr>
              <w:t>GENERAL FUND</w:t>
            </w:r>
          </w:p>
        </w:tc>
        <w:tc>
          <w:tcPr>
            <w:tcW w:w="1469" w:type="dxa"/>
          </w:tcPr>
          <w:p w:rsidR="00A670C2" w:rsidP="00066396">
            <w:pPr>
              <w:jc w:val="right"/>
              <w:rPr>
                <w:rFonts w:ascii="Arial" w:eastAsia="Arial" w:hAnsi="Arial" w:cs="Arial"/>
              </w:rPr>
            </w:pPr>
            <w:r>
              <w:rPr>
                <w:rFonts w:ascii="Arial" w:eastAsia="Arial" w:hAnsi="Arial" w:cs="Arial"/>
                <w:b/>
              </w:rPr>
              <w:t>2025-26</w:t>
            </w:r>
          </w:p>
        </w:tc>
        <w:tc>
          <w:tcPr>
            <w:tcW w:w="1469" w:type="dxa"/>
          </w:tcPr>
          <w:p w:rsidR="00A670C2" w:rsidP="00066396">
            <w:pPr>
              <w:jc w:val="right"/>
              <w:rPr>
                <w:rFonts w:ascii="Arial" w:eastAsia="Arial" w:hAnsi="Arial" w:cs="Arial"/>
              </w:rPr>
            </w:pPr>
            <w:r>
              <w:rPr>
                <w:rFonts w:ascii="Arial" w:eastAsia="Arial" w:hAnsi="Arial" w:cs="Arial"/>
                <w:b/>
              </w:rPr>
              <w:t>2026-27</w:t>
            </w:r>
          </w:p>
        </w:tc>
      </w:tr>
      <w:tr w:rsidTr="00066396">
        <w:tblPrEx>
          <w:tblW w:w="0" w:type="auto"/>
          <w:tblInd w:w="360" w:type="dxa"/>
          <w:tblCellMar>
            <w:left w:w="0" w:type="dxa"/>
            <w:right w:w="0" w:type="dxa"/>
          </w:tblCellMar>
          <w:tblLook w:val="04A0"/>
        </w:tblPrEx>
        <w:tc>
          <w:tcPr>
            <w:tcW w:w="5069" w:type="dxa"/>
          </w:tcPr>
          <w:p w:rsidR="00A670C2" w:rsidP="00066396">
            <w:pPr>
              <w:ind w:left="180"/>
              <w:rPr>
                <w:rFonts w:ascii="Arial" w:eastAsia="Arial" w:hAnsi="Arial" w:cs="Arial"/>
              </w:rPr>
            </w:pPr>
            <w:r>
              <w:rPr>
                <w:rFonts w:ascii="Arial" w:eastAsia="Arial" w:hAnsi="Arial" w:cs="Arial"/>
              </w:rPr>
              <w:t>All Other</w:t>
            </w:r>
          </w:p>
        </w:tc>
        <w:tc>
          <w:tcPr>
            <w:tcW w:w="1469" w:type="dxa"/>
          </w:tcPr>
          <w:p w:rsidR="00A670C2" w:rsidP="00066396">
            <w:pPr>
              <w:jc w:val="right"/>
              <w:rPr>
                <w:rFonts w:ascii="Arial" w:eastAsia="Arial" w:hAnsi="Arial" w:cs="Arial"/>
              </w:rPr>
            </w:pPr>
            <w:r>
              <w:rPr>
                <w:rFonts w:ascii="Arial" w:eastAsia="Arial" w:hAnsi="Arial" w:cs="Arial"/>
              </w:rPr>
              <w:t>$0</w:t>
            </w:r>
          </w:p>
        </w:tc>
        <w:tc>
          <w:tcPr>
            <w:tcW w:w="1469" w:type="dxa"/>
          </w:tcPr>
          <w:p w:rsidR="00A670C2" w:rsidP="00066396">
            <w:pPr>
              <w:jc w:val="right"/>
              <w:rPr>
                <w:rFonts w:ascii="Arial" w:eastAsia="Arial" w:hAnsi="Arial" w:cs="Arial"/>
              </w:rPr>
            </w:pPr>
            <w:r>
              <w:rPr>
                <w:rFonts w:ascii="Arial" w:eastAsia="Arial" w:hAnsi="Arial" w:cs="Arial"/>
              </w:rPr>
              <w:t>$2,000,000</w:t>
            </w:r>
          </w:p>
        </w:tc>
      </w:tr>
      <w:tr w:rsidTr="00066396">
        <w:tblPrEx>
          <w:tblW w:w="0" w:type="auto"/>
          <w:tblInd w:w="360" w:type="dxa"/>
          <w:tblCellMar>
            <w:left w:w="0" w:type="dxa"/>
            <w:right w:w="0" w:type="dxa"/>
          </w:tblCellMar>
          <w:tblLook w:val="04A0"/>
        </w:tblPrEx>
        <w:tc>
          <w:tcPr>
            <w:tcW w:w="5069" w:type="dxa"/>
          </w:tcPr>
          <w:p w:rsidR="00A670C2" w:rsidP="00066396">
            <w:pPr>
              <w:rPr>
                <w:rFonts w:ascii="Arial" w:eastAsia="Arial" w:hAnsi="Arial" w:cs="Arial"/>
              </w:rPr>
            </w:pPr>
            <w:r>
              <w:rPr>
                <w:rFonts w:ascii="Arial" w:eastAsia="Arial" w:hAnsi="Arial" w:cs="Arial"/>
              </w:rPr>
              <w:t xml:space="preserve"> </w:t>
            </w:r>
          </w:p>
        </w:tc>
        <w:tc>
          <w:tcPr>
            <w:tcW w:w="1469" w:type="dxa"/>
          </w:tcPr>
          <w:p w:rsidR="00A670C2" w:rsidP="00066396">
            <w:pPr>
              <w:jc w:val="right"/>
              <w:rPr>
                <w:rFonts w:ascii="Arial" w:eastAsia="Arial" w:hAnsi="Arial" w:cs="Arial"/>
              </w:rPr>
            </w:pPr>
            <w:r>
              <w:rPr>
                <w:rFonts w:ascii="Arial" w:eastAsia="Arial" w:hAnsi="Arial" w:cs="Arial"/>
              </w:rPr>
              <w:t>__________</w:t>
            </w:r>
          </w:p>
        </w:tc>
        <w:tc>
          <w:tcPr>
            <w:tcW w:w="1469" w:type="dxa"/>
          </w:tcPr>
          <w:p w:rsidR="00A670C2" w:rsidP="00066396">
            <w:pPr>
              <w:jc w:val="right"/>
              <w:rPr>
                <w:rFonts w:ascii="Arial" w:eastAsia="Arial" w:hAnsi="Arial" w:cs="Arial"/>
              </w:rPr>
            </w:pPr>
            <w:r>
              <w:rPr>
                <w:rFonts w:ascii="Arial" w:eastAsia="Arial" w:hAnsi="Arial" w:cs="Arial"/>
              </w:rPr>
              <w:t>__________</w:t>
            </w:r>
          </w:p>
        </w:tc>
      </w:tr>
      <w:tr w:rsidTr="00066396">
        <w:tblPrEx>
          <w:tblW w:w="0" w:type="auto"/>
          <w:tblInd w:w="360" w:type="dxa"/>
          <w:tblCellMar>
            <w:left w:w="0" w:type="dxa"/>
            <w:right w:w="0" w:type="dxa"/>
          </w:tblCellMar>
          <w:tblLook w:val="04A0"/>
        </w:tblPrEx>
        <w:tc>
          <w:tcPr>
            <w:tcW w:w="5069" w:type="dxa"/>
          </w:tcPr>
          <w:p w:rsidR="00A670C2" w:rsidP="00066396">
            <w:pPr>
              <w:rPr>
                <w:rFonts w:ascii="Arial" w:eastAsia="Arial" w:hAnsi="Arial" w:cs="Arial"/>
              </w:rPr>
            </w:pPr>
            <w:r>
              <w:rPr>
                <w:rFonts w:ascii="Arial" w:eastAsia="Arial" w:hAnsi="Arial" w:cs="Arial"/>
              </w:rPr>
              <w:t>GENERAL FUND TOTAL</w:t>
            </w:r>
          </w:p>
        </w:tc>
        <w:tc>
          <w:tcPr>
            <w:tcW w:w="1469" w:type="dxa"/>
          </w:tcPr>
          <w:p w:rsidR="00A670C2" w:rsidP="00066396">
            <w:pPr>
              <w:jc w:val="right"/>
              <w:rPr>
                <w:rFonts w:ascii="Arial" w:eastAsia="Arial" w:hAnsi="Arial" w:cs="Arial"/>
              </w:rPr>
            </w:pPr>
            <w:r>
              <w:rPr>
                <w:rFonts w:ascii="Arial" w:eastAsia="Arial" w:hAnsi="Arial" w:cs="Arial"/>
              </w:rPr>
              <w:t>$0</w:t>
            </w:r>
          </w:p>
        </w:tc>
        <w:tc>
          <w:tcPr>
            <w:tcW w:w="1469" w:type="dxa"/>
          </w:tcPr>
          <w:p w:rsidR="00A670C2" w:rsidP="00066396">
            <w:pPr>
              <w:jc w:val="right"/>
              <w:rPr>
                <w:rFonts w:ascii="Arial" w:eastAsia="Arial" w:hAnsi="Arial" w:cs="Arial"/>
              </w:rPr>
            </w:pPr>
            <w:r>
              <w:rPr>
                <w:rFonts w:ascii="Arial" w:eastAsia="Arial" w:hAnsi="Arial" w:cs="Arial"/>
              </w:rPr>
              <w:t>$2,000,000</w:t>
            </w:r>
          </w:p>
        </w:tc>
      </w:tr>
      <w:bookmarkEnd w:id="2"/>
      <w:bookmarkEnd w:id="6"/>
      <w:bookmarkEnd w:id="23"/>
      <w:bookmarkEnd w:id="24"/>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LR1702, item 10 - 132nd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Amend the Laws Governing Public Employee Market Pay Studies and Comprehensive Reviews of the Classification Plan for State Service Positions</w:t>
    </w:r>
  </w:p>
  <w:p>
    <w:pPr>
      <w:suppressLineNumbers/>
      <w:spacing w:before="0" w:after="0"/>
      <w:jc w:val="center"/>
      <w:rPr>
        <w:rFonts w:ascii="Arial" w:eastAsia="Arial" w:hAnsi="Arial" w:cs="Arial"/>
      </w:rPr>
    </w:pPr>
    <w:r>
      <w:rPr>
        <w:rFonts w:ascii="Arial" w:eastAsia="Arial" w:hAnsi="Arial" w:cs="Arial"/>
        <w:sz w:val="22"/>
      </w:rPr>
      <w:t>L.D. 1265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66396"/>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1392B"/>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670C2"/>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