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a Take-back and Disposal Program for Firefighting and Fire-suppressing Foam to Which Perfluoroalkyl and Polyfluoroalkyl Substances Have Been Added</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145 - L.D. 222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a Take-back and Disposal Program for Firefighting and Fire-suppressing Foam to Which Perfluoroalkyl and Polyfluoroalkyl Substances Have Been Added</w:t>
      </w:r>
    </w:p>
    <w:p w:rsidR="004B701C" w:rsidP="004B701C">
      <w:pPr>
        <w:ind w:left="360"/>
        <w:rPr>
          <w:rFonts w:ascii="Arial" w:eastAsia="Arial" w:hAnsi="Arial" w:cs="Arial"/>
        </w:rPr>
      </w:pPr>
      <w:bookmarkStart w:id="0" w:name="_ENACTING_CLAUSE__058bc2fd_1c66_4347_ba8"/>
      <w:bookmarkStart w:id="1" w:name="_PAR__1_e52bc84f_9f7f_4a9d_93d2_4b06668d"/>
      <w:bookmarkStart w:id="2" w:name="_DOC_BODY_CONTAINER__bfc29c66_4da6_405f_"/>
      <w:r>
        <w:rPr>
          <w:rFonts w:ascii="Arial" w:eastAsia="Arial" w:hAnsi="Arial" w:cs="Arial"/>
          <w:b/>
        </w:rPr>
        <w:t>Be it enacted by the People of the State of Maine as follows:</w:t>
      </w:r>
    </w:p>
    <w:p w:rsidR="004B701C" w:rsidP="004B701C">
      <w:pPr>
        <w:ind w:left="360" w:firstLine="360"/>
        <w:rPr>
          <w:rFonts w:ascii="Arial" w:eastAsia="Arial" w:hAnsi="Arial" w:cs="Arial"/>
        </w:rPr>
      </w:pPr>
      <w:bookmarkStart w:id="3" w:name="_BILL_SECTION_HEADER__e5eb2a2e_ce97_449f"/>
      <w:bookmarkStart w:id="4" w:name="_PAR__2_187cc58c_b842_48b6_890d_6088b497"/>
      <w:bookmarkStart w:id="5" w:name="_BILL_SECTION__4d17b389_88e1_4396_a2bb_9"/>
      <w:bookmarkStart w:id="6" w:name="_DOC_BODY_CONTENT__d5f15372_434c_449d_a6"/>
      <w:bookmarkEnd w:id="0"/>
      <w:bookmarkEnd w:id="1"/>
      <w:r>
        <w:rPr>
          <w:rFonts w:ascii="Arial" w:eastAsia="Arial" w:hAnsi="Arial" w:cs="Arial"/>
          <w:b/>
          <w:sz w:val="24"/>
        </w:rPr>
        <w:t xml:space="preserve">Sec. </w:t>
      </w:r>
      <w:bookmarkStart w:id="7" w:name="_BILL_SECTION_NUMBER__963a6106_1694_47d4"/>
      <w:r>
        <w:rPr>
          <w:rFonts w:ascii="Arial" w:eastAsia="Arial" w:hAnsi="Arial" w:cs="Arial"/>
          <w:b/>
          <w:sz w:val="24"/>
        </w:rPr>
        <w:t>1</w:t>
      </w:r>
      <w:bookmarkEnd w:id="7"/>
      <w:r>
        <w:rPr>
          <w:rFonts w:ascii="Arial" w:eastAsia="Arial" w:hAnsi="Arial" w:cs="Arial"/>
          <w:b/>
          <w:sz w:val="24"/>
        </w:rPr>
        <w:t>.  38 MRSA §424-C, sub-§5-A</w:t>
      </w:r>
      <w:r>
        <w:rPr>
          <w:rFonts w:ascii="Arial" w:eastAsia="Arial" w:hAnsi="Arial" w:cs="Arial"/>
        </w:rPr>
        <w:t xml:space="preserve"> is enacted to read:</w:t>
      </w:r>
    </w:p>
    <w:p w:rsidR="004B701C" w:rsidP="004B701C">
      <w:pPr>
        <w:ind w:left="360" w:firstLine="360"/>
        <w:rPr>
          <w:rFonts w:ascii="Arial" w:eastAsia="Arial" w:hAnsi="Arial" w:cs="Arial"/>
        </w:rPr>
      </w:pPr>
      <w:bookmarkStart w:id="8" w:name="_STATUTE_NUMBER__56b043a4_ae7c_4a10_9681"/>
      <w:bookmarkStart w:id="9" w:name="_STATUTE_SS__f2a66a8b_93c0_49d2_829a_766"/>
      <w:bookmarkStart w:id="10" w:name="_PAR__3_715e3db8_704e_4639_903b_fbe4619f"/>
      <w:bookmarkEnd w:id="3"/>
      <w:bookmarkEnd w:id="4"/>
      <w:r>
        <w:rPr>
          <w:rFonts w:ascii="Arial" w:eastAsia="Arial" w:hAnsi="Arial" w:cs="Arial"/>
          <w:b/>
          <w:u w:val="single"/>
        </w:rPr>
        <w:t>5-A</w:t>
      </w:r>
      <w:bookmarkEnd w:id="8"/>
      <w:r>
        <w:rPr>
          <w:rFonts w:ascii="Arial" w:eastAsia="Arial" w:hAnsi="Arial" w:cs="Arial"/>
          <w:b/>
          <w:u w:val="single"/>
        </w:rPr>
        <w:t xml:space="preserve">.  </w:t>
      </w:r>
      <w:bookmarkStart w:id="11" w:name="_STATUTE_HEADNOTE__ae26067f_4d4a_489e_9b"/>
      <w:r>
        <w:rPr>
          <w:rFonts w:ascii="Arial" w:eastAsia="Arial" w:hAnsi="Arial" w:cs="Arial"/>
          <w:b/>
          <w:u w:val="single"/>
        </w:rPr>
        <w:t>Take</w:t>
      </w:r>
      <w:r>
        <w:rPr>
          <w:rFonts w:ascii="Arial" w:eastAsia="Arial" w:hAnsi="Arial" w:cs="Arial"/>
          <w:b/>
          <w:u w:val="single"/>
        </w:rPr>
        <w:t>-</w:t>
      </w:r>
      <w:r>
        <w:rPr>
          <w:rFonts w:ascii="Arial" w:eastAsia="Arial" w:hAnsi="Arial" w:cs="Arial"/>
          <w:b/>
          <w:u w:val="single"/>
        </w:rPr>
        <w:t xml:space="preserve">back and disposal program. </w:t>
      </w:r>
      <w:r>
        <w:rPr>
          <w:rFonts w:ascii="Arial" w:eastAsia="Arial" w:hAnsi="Arial" w:cs="Arial"/>
          <w:u w:val="single"/>
        </w:rPr>
        <w:t xml:space="preserve"> </w:t>
      </w:r>
      <w:bookmarkStart w:id="12" w:name="_STATUTE_CONTENT__c68312b6_dbc4_4dd9_9ee"/>
      <w:bookmarkEnd w:id="11"/>
      <w:r>
        <w:rPr>
          <w:rFonts w:ascii="Arial" w:eastAsia="Arial" w:hAnsi="Arial" w:cs="Arial"/>
          <w:u w:val="single"/>
        </w:rPr>
        <w:t>In consultation with the</w:t>
      </w:r>
      <w:r>
        <w:rPr>
          <w:rFonts w:ascii="Arial" w:eastAsia="Arial" w:hAnsi="Arial" w:cs="Arial"/>
          <w:u w:val="single"/>
        </w:rPr>
        <w:t xml:space="preserve"> </w:t>
      </w:r>
      <w:r>
        <w:rPr>
          <w:rFonts w:ascii="Arial" w:eastAsia="Arial" w:hAnsi="Arial" w:cs="Arial"/>
          <w:u w:val="single"/>
        </w:rPr>
        <w:t>Department of Public Safety,</w:t>
      </w:r>
      <w:r>
        <w:rPr>
          <w:rFonts w:ascii="Arial" w:eastAsia="Arial" w:hAnsi="Arial" w:cs="Arial"/>
          <w:u w:val="single"/>
        </w:rPr>
        <w:t xml:space="preserve"> </w:t>
      </w:r>
      <w:r>
        <w:rPr>
          <w:rFonts w:ascii="Arial" w:eastAsia="Arial" w:hAnsi="Arial" w:cs="Arial"/>
          <w:u w:val="single"/>
        </w:rPr>
        <w:t xml:space="preserve">Office of the State Fire Marshal, </w:t>
      </w:r>
      <w:bookmarkStart w:id="13" w:name="_ENGROSSING_REV__c0f04059_e639_4e8c_9842"/>
      <w:bookmarkStart w:id="14" w:name="_REV__6226c8ff_9404_4aab_a3c4_8333cebf50"/>
      <w:bookmarkStart w:id="15" w:name="_INSTRUCTION__962d0886_4360_4abc_87e5_dc"/>
      <w:bookmarkEnd w:id="13"/>
      <w:r>
        <w:rPr>
          <w:rFonts w:ascii="Arial" w:eastAsia="Arial" w:hAnsi="Arial" w:cs="Arial"/>
          <w:u w:val="single"/>
        </w:rPr>
        <w:t>when funds are available,</w:t>
      </w:r>
      <w:bookmarkEnd w:id="14"/>
      <w:bookmarkEnd w:id="15"/>
      <w:r>
        <w:rPr>
          <w:rFonts w:ascii="Arial" w:eastAsia="Arial" w:hAnsi="Arial" w:cs="Arial"/>
          <w:u w:val="single"/>
        </w:rPr>
        <w:t xml:space="preserve"> </w:t>
      </w:r>
      <w:r>
        <w:rPr>
          <w:rFonts w:ascii="Arial" w:eastAsia="Arial" w:hAnsi="Arial" w:cs="Arial"/>
          <w:u w:val="single"/>
        </w:rPr>
        <w:t>t</w:t>
      </w:r>
      <w:r>
        <w:rPr>
          <w:rFonts w:ascii="Arial" w:eastAsia="Arial" w:hAnsi="Arial" w:cs="Arial"/>
          <w:u w:val="single"/>
        </w:rPr>
        <w:t>he department shall design and, by July 1, 202</w:t>
      </w:r>
      <w:r>
        <w:rPr>
          <w:rFonts w:ascii="Arial" w:eastAsia="Arial" w:hAnsi="Arial" w:cs="Arial"/>
          <w:u w:val="single"/>
        </w:rPr>
        <w:t>7</w:t>
      </w:r>
      <w:r>
        <w:rPr>
          <w:rFonts w:ascii="Arial" w:eastAsia="Arial" w:hAnsi="Arial" w:cs="Arial"/>
          <w:u w:val="single"/>
        </w:rPr>
        <w:t>, implement a take</w:t>
      </w:r>
      <w:r>
        <w:rPr>
          <w:rFonts w:ascii="Arial" w:eastAsia="Arial" w:hAnsi="Arial" w:cs="Arial"/>
          <w:u w:val="single"/>
        </w:rPr>
        <w:t>-</w:t>
      </w:r>
      <w:r>
        <w:rPr>
          <w:rFonts w:ascii="Arial" w:eastAsia="Arial" w:hAnsi="Arial" w:cs="Arial"/>
          <w:u w:val="single"/>
        </w:rPr>
        <w:t xml:space="preserve">back and disposal program for firefighting </w:t>
      </w:r>
      <w:r>
        <w:rPr>
          <w:rFonts w:ascii="Arial" w:eastAsia="Arial" w:hAnsi="Arial" w:cs="Arial"/>
          <w:u w:val="single"/>
        </w:rPr>
        <w:t>and</w:t>
      </w:r>
      <w:r>
        <w:rPr>
          <w:rFonts w:ascii="Arial" w:eastAsia="Arial" w:hAnsi="Arial" w:cs="Arial"/>
          <w:u w:val="single"/>
        </w:rPr>
        <w:t xml:space="preserve"> fire-suppressing foam to which PFAS hav</w:t>
      </w:r>
      <w:bookmarkStart w:id="16" w:name="_ENGROSSING_REV__3cd3b2f7_f588_4035_a521"/>
      <w:bookmarkEnd w:id="16"/>
      <w:r>
        <w:rPr>
          <w:rFonts w:ascii="Arial" w:eastAsia="Arial" w:hAnsi="Arial" w:cs="Arial"/>
          <w:u w:val="single"/>
        </w:rPr>
        <w:t>e been intentionally added that is located in the State and</w:t>
      </w:r>
      <w:r>
        <w:rPr>
          <w:rFonts w:ascii="Arial" w:eastAsia="Arial" w:hAnsi="Arial" w:cs="Arial"/>
          <w:u w:val="single"/>
        </w:rPr>
        <w:t xml:space="preserve"> that is</w:t>
      </w:r>
      <w:r>
        <w:rPr>
          <w:rFonts w:ascii="Arial" w:eastAsia="Arial" w:hAnsi="Arial" w:cs="Arial"/>
          <w:u w:val="single"/>
        </w:rPr>
        <w:t xml:space="preserve"> in the possession of a </w:t>
      </w:r>
      <w:r>
        <w:rPr>
          <w:rFonts w:ascii="Arial" w:eastAsia="Arial" w:hAnsi="Arial" w:cs="Arial"/>
          <w:u w:val="single"/>
        </w:rPr>
        <w:t>person</w:t>
      </w:r>
      <w:r>
        <w:rPr>
          <w:rFonts w:ascii="Arial" w:eastAsia="Arial" w:hAnsi="Arial" w:cs="Arial"/>
          <w:u w:val="single"/>
        </w:rPr>
        <w:t xml:space="preserve"> located in the State.  The program must provide for the collection of such firefighting or fire-suppressing foam from a </w:t>
      </w:r>
      <w:r>
        <w:rPr>
          <w:rFonts w:ascii="Arial" w:eastAsia="Arial" w:hAnsi="Arial" w:cs="Arial"/>
          <w:u w:val="single"/>
        </w:rPr>
        <w:t>person</w:t>
      </w:r>
      <w:r>
        <w:rPr>
          <w:rFonts w:ascii="Arial" w:eastAsia="Arial" w:hAnsi="Arial" w:cs="Arial"/>
          <w:u w:val="single"/>
        </w:rPr>
        <w:t xml:space="preserve"> that voluntarily requests collection and for the safe and contained disposal of the collected foam.  The department may contract with a </w:t>
      </w:r>
      <w:r>
        <w:rPr>
          <w:rFonts w:ascii="Arial" w:eastAsia="Arial" w:hAnsi="Arial" w:cs="Arial"/>
          <w:u w:val="single"/>
        </w:rPr>
        <w:t>3rd</w:t>
      </w:r>
      <w:r>
        <w:rPr>
          <w:rFonts w:ascii="Arial" w:eastAsia="Arial" w:hAnsi="Arial" w:cs="Arial"/>
          <w:u w:val="single"/>
        </w:rPr>
        <w:t>-party entity to implement and administer the program and may adopt rules as necessary for the implementation and administration of the program, which are routine technical rules as defined in Title 5, chapter 375, subchapter 2-A</w:t>
      </w:r>
      <w:r>
        <w:rPr>
          <w:rFonts w:ascii="Arial" w:eastAsia="Arial" w:hAnsi="Arial" w:cs="Arial"/>
          <w:u w:val="single"/>
        </w:rPr>
        <w:t xml:space="preserve">.  </w:t>
      </w:r>
      <w:bookmarkStart w:id="17" w:name="_REV__656d4f16_fb38_4431_a8bb_1587980b9f"/>
      <w:bookmarkStart w:id="18" w:name="_INSTRUCTION__30f7e54a_cbca_421f_ac95_ca"/>
      <w:r>
        <w:rPr>
          <w:rFonts w:ascii="Arial" w:eastAsia="Arial" w:hAnsi="Arial" w:cs="Arial"/>
          <w:u w:val="single"/>
        </w:rPr>
        <w:t>The department may receive funds, grants or contributions from public or private sources to design and implement the program</w:t>
      </w:r>
      <w:bookmarkEnd w:id="17"/>
      <w:bookmarkEnd w:id="18"/>
      <w:r>
        <w:rPr>
          <w:rFonts w:ascii="Arial" w:eastAsia="Arial" w:hAnsi="Arial" w:cs="Arial"/>
          <w:u w:val="single"/>
        </w:rPr>
        <w:t>.</w:t>
      </w:r>
    </w:p>
    <w:p w:rsidR="004B701C" w:rsidP="004B701C">
      <w:pPr>
        <w:ind w:left="360" w:firstLine="360"/>
        <w:rPr>
          <w:rFonts w:ascii="Arial" w:eastAsia="Arial" w:hAnsi="Arial" w:cs="Arial"/>
        </w:rPr>
      </w:pPr>
      <w:bookmarkStart w:id="19" w:name="_APPROP_SECTION__5422b1cb_d5e4_4b37_aaef"/>
      <w:bookmarkStart w:id="20" w:name="_INSTRUCTION__20dcc16a_e9d1_4ca2_ae52_4c"/>
      <w:bookmarkEnd w:id="5"/>
      <w:bookmarkEnd w:id="9"/>
      <w:bookmarkEnd w:id="10"/>
      <w:bookmarkEnd w:id="12"/>
      <w:r>
        <w:rPr>
          <w:rFonts w:ascii="Arial" w:eastAsia="Arial" w:hAnsi="Arial" w:cs="Arial"/>
          <w:b/>
          <w:sz w:val="24"/>
        </w:rPr>
        <w:t xml:space="preserve">Sec. </w:t>
      </w:r>
      <w:bookmarkStart w:id="21" w:name="_BILL_SECTION_NUMBER__3ff85ee8_7dc0_4e09"/>
      <w:r>
        <w:rPr>
          <w:rFonts w:ascii="Arial" w:eastAsia="Arial" w:hAnsi="Arial" w:cs="Arial"/>
          <w:b/>
          <w:sz w:val="24"/>
        </w:rPr>
        <w:t>2</w:t>
      </w:r>
      <w:bookmarkEnd w:id="21"/>
      <w:r>
        <w:rPr>
          <w:rFonts w:ascii="Arial" w:eastAsia="Arial" w:hAnsi="Arial" w:cs="Arial"/>
          <w:b/>
          <w:sz w:val="24"/>
        </w:rPr>
        <w:t>.  Appropriations and allocations.</w:t>
      </w:r>
      <w:r>
        <w:rPr>
          <w:rFonts w:ascii="Arial" w:eastAsia="Arial" w:hAnsi="Arial" w:cs="Arial"/>
        </w:rPr>
        <w:t>  The following appropriations and allocations are made.</w:t>
      </w:r>
    </w:p>
    <w:p w:rsidR="004B701C" w:rsidP="004B701C">
      <w:pPr>
        <w:pStyle w:val="BPSParagraphLeftAlign"/>
        <w:suppressAutoHyphens/>
        <w:ind w:left="360"/>
        <w:rPr>
          <w:rFonts w:ascii="Arial" w:eastAsia="Arial" w:hAnsi="Arial" w:cs="Arial"/>
        </w:rPr>
      </w:pPr>
      <w:r>
        <w:rPr>
          <w:rFonts w:ascii="Arial" w:eastAsia="Arial" w:hAnsi="Arial" w:cs="Arial"/>
          <w:b/>
        </w:rPr>
        <w:t>ENVIRONMENTAL PROTECTION, DEPARTMENT OF</w:t>
      </w:r>
    </w:p>
    <w:p w:rsidR="004B701C" w:rsidP="004B701C">
      <w:pPr>
        <w:pStyle w:val="BPSParagraphLeftAlign"/>
        <w:suppressAutoHyphens/>
        <w:ind w:left="360"/>
        <w:rPr>
          <w:rFonts w:ascii="Arial" w:eastAsia="Arial" w:hAnsi="Arial" w:cs="Arial"/>
        </w:rPr>
      </w:pPr>
      <w:r>
        <w:rPr>
          <w:rFonts w:ascii="Arial" w:eastAsia="Arial" w:hAnsi="Arial" w:cs="Arial"/>
          <w:b/>
        </w:rPr>
        <w:t>Firefighting Foam Disposal Program  N968</w:t>
      </w:r>
    </w:p>
    <w:p w:rsidR="004B701C" w:rsidP="004B701C">
      <w:pPr>
        <w:ind w:left="360"/>
        <w:rPr>
          <w:rFonts w:ascii="Arial" w:eastAsia="Arial" w:hAnsi="Arial" w:cs="Arial"/>
        </w:rPr>
      </w:pPr>
      <w:r>
        <w:rPr>
          <w:rFonts w:ascii="Arial" w:eastAsia="Arial" w:hAnsi="Arial" w:cs="Arial"/>
        </w:rPr>
        <w:t>Initiative: Provides baseline allocation to establish an account to accept funding for contracted services related to the take-back and disposal of firefighting and fire-suppressing foam containing perfluoroalkyl and polyfluoroalkyl substances.</w:t>
      </w:r>
    </w:p>
    <w:tbl>
      <w:tblPr>
        <w:tblStyle w:val="BPSTable"/>
        <w:tblW w:w="0" w:type="auto"/>
        <w:tblInd w:w="360" w:type="dxa"/>
        <w:tblCellMar>
          <w:left w:w="0" w:type="dxa"/>
          <w:right w:w="0" w:type="dxa"/>
        </w:tblCellMar>
        <w:tblLook w:val="04A0"/>
      </w:tblPr>
      <w:tblGrid>
        <w:gridCol w:w="5009"/>
        <w:gridCol w:w="1463"/>
        <w:gridCol w:w="1463"/>
      </w:tblGrid>
      <w:tr w:rsidTr="0038435D">
        <w:tblPrEx>
          <w:tblW w:w="0" w:type="auto"/>
          <w:tblInd w:w="360" w:type="dxa"/>
          <w:tblCellMar>
            <w:left w:w="0" w:type="dxa"/>
            <w:right w:w="0" w:type="dxa"/>
          </w:tblCellMar>
          <w:tblLook w:val="04A0"/>
        </w:tblPrEx>
        <w:tc>
          <w:tcPr>
            <w:tcW w:w="5069" w:type="dxa"/>
          </w:tcPr>
          <w:p w:rsidR="004B701C" w:rsidP="0038435D">
            <w:pPr>
              <w:rPr>
                <w:rFonts w:ascii="Arial" w:eastAsia="Arial" w:hAnsi="Arial" w:cs="Arial"/>
              </w:rPr>
            </w:pPr>
            <w:r>
              <w:rPr>
                <w:rFonts w:ascii="Arial" w:eastAsia="Arial" w:hAnsi="Arial" w:cs="Arial"/>
                <w:b/>
              </w:rPr>
              <w:t>OTHER SPECIAL REVENUE FUNDS</w:t>
            </w:r>
          </w:p>
        </w:tc>
        <w:tc>
          <w:tcPr>
            <w:tcW w:w="1469" w:type="dxa"/>
          </w:tcPr>
          <w:p w:rsidR="004B701C" w:rsidP="0038435D">
            <w:pPr>
              <w:jc w:val="right"/>
              <w:rPr>
                <w:rFonts w:ascii="Arial" w:eastAsia="Arial" w:hAnsi="Arial" w:cs="Arial"/>
              </w:rPr>
            </w:pPr>
            <w:r>
              <w:rPr>
                <w:rFonts w:ascii="Arial" w:eastAsia="Arial" w:hAnsi="Arial" w:cs="Arial"/>
                <w:b/>
              </w:rPr>
              <w:t>2025-26</w:t>
            </w:r>
          </w:p>
        </w:tc>
        <w:tc>
          <w:tcPr>
            <w:tcW w:w="1469" w:type="dxa"/>
          </w:tcPr>
          <w:p w:rsidR="004B701C" w:rsidP="0038435D">
            <w:pPr>
              <w:jc w:val="right"/>
              <w:rPr>
                <w:rFonts w:ascii="Arial" w:eastAsia="Arial" w:hAnsi="Arial" w:cs="Arial"/>
              </w:rPr>
            </w:pPr>
            <w:r>
              <w:rPr>
                <w:rFonts w:ascii="Arial" w:eastAsia="Arial" w:hAnsi="Arial" w:cs="Arial"/>
                <w:b/>
              </w:rPr>
              <w:t>2026-27</w:t>
            </w:r>
          </w:p>
        </w:tc>
      </w:tr>
      <w:tr w:rsidTr="0038435D">
        <w:tblPrEx>
          <w:tblW w:w="0" w:type="auto"/>
          <w:tblInd w:w="360" w:type="dxa"/>
          <w:tblCellMar>
            <w:left w:w="0" w:type="dxa"/>
            <w:right w:w="0" w:type="dxa"/>
          </w:tblCellMar>
          <w:tblLook w:val="04A0"/>
        </w:tblPrEx>
        <w:tc>
          <w:tcPr>
            <w:tcW w:w="5069" w:type="dxa"/>
          </w:tcPr>
          <w:p w:rsidR="004B701C" w:rsidP="0038435D">
            <w:pPr>
              <w:ind w:left="180"/>
              <w:rPr>
                <w:rFonts w:ascii="Arial" w:eastAsia="Arial" w:hAnsi="Arial" w:cs="Arial"/>
              </w:rPr>
            </w:pPr>
            <w:r>
              <w:rPr>
                <w:rFonts w:ascii="Arial" w:eastAsia="Arial" w:hAnsi="Arial" w:cs="Arial"/>
              </w:rPr>
              <w:t>All Other</w:t>
            </w:r>
          </w:p>
        </w:tc>
        <w:tc>
          <w:tcPr>
            <w:tcW w:w="1469" w:type="dxa"/>
          </w:tcPr>
          <w:p w:rsidR="004B701C" w:rsidP="0038435D">
            <w:pPr>
              <w:jc w:val="right"/>
              <w:rPr>
                <w:rFonts w:ascii="Arial" w:eastAsia="Arial" w:hAnsi="Arial" w:cs="Arial"/>
              </w:rPr>
            </w:pPr>
            <w:r>
              <w:rPr>
                <w:rFonts w:ascii="Arial" w:eastAsia="Arial" w:hAnsi="Arial" w:cs="Arial"/>
              </w:rPr>
              <w:t>$500</w:t>
            </w:r>
          </w:p>
        </w:tc>
        <w:tc>
          <w:tcPr>
            <w:tcW w:w="1469" w:type="dxa"/>
          </w:tcPr>
          <w:p w:rsidR="004B701C" w:rsidP="0038435D">
            <w:pPr>
              <w:jc w:val="right"/>
              <w:rPr>
                <w:rFonts w:ascii="Arial" w:eastAsia="Arial" w:hAnsi="Arial" w:cs="Arial"/>
              </w:rPr>
            </w:pPr>
            <w:r>
              <w:rPr>
                <w:rFonts w:ascii="Arial" w:eastAsia="Arial" w:hAnsi="Arial" w:cs="Arial"/>
              </w:rPr>
              <w:t>$500</w:t>
            </w:r>
          </w:p>
        </w:tc>
      </w:tr>
      <w:tr w:rsidTr="0038435D">
        <w:tblPrEx>
          <w:tblW w:w="0" w:type="auto"/>
          <w:tblInd w:w="360" w:type="dxa"/>
          <w:tblCellMar>
            <w:left w:w="0" w:type="dxa"/>
            <w:right w:w="0" w:type="dxa"/>
          </w:tblCellMar>
          <w:tblLook w:val="04A0"/>
        </w:tblPrEx>
        <w:tc>
          <w:tcPr>
            <w:tcW w:w="5069" w:type="dxa"/>
          </w:tcPr>
          <w:p w:rsidR="004B701C" w:rsidP="0038435D">
            <w:pPr>
              <w:rPr>
                <w:rFonts w:ascii="Arial" w:eastAsia="Arial" w:hAnsi="Arial" w:cs="Arial"/>
              </w:rPr>
            </w:pPr>
            <w:r>
              <w:rPr>
                <w:rFonts w:ascii="Arial" w:eastAsia="Arial" w:hAnsi="Arial" w:cs="Arial"/>
              </w:rPr>
              <w:t xml:space="preserve"> </w:t>
            </w:r>
          </w:p>
        </w:tc>
        <w:tc>
          <w:tcPr>
            <w:tcW w:w="1469" w:type="dxa"/>
          </w:tcPr>
          <w:p w:rsidR="004B701C" w:rsidP="0038435D">
            <w:pPr>
              <w:jc w:val="right"/>
              <w:rPr>
                <w:rFonts w:ascii="Arial" w:eastAsia="Arial" w:hAnsi="Arial" w:cs="Arial"/>
              </w:rPr>
            </w:pPr>
            <w:r>
              <w:rPr>
                <w:rFonts w:ascii="Arial" w:eastAsia="Arial" w:hAnsi="Arial" w:cs="Arial"/>
              </w:rPr>
              <w:t>__________</w:t>
            </w:r>
          </w:p>
        </w:tc>
        <w:tc>
          <w:tcPr>
            <w:tcW w:w="1469" w:type="dxa"/>
          </w:tcPr>
          <w:p w:rsidR="004B701C" w:rsidP="0038435D">
            <w:pPr>
              <w:jc w:val="right"/>
              <w:rPr>
                <w:rFonts w:ascii="Arial" w:eastAsia="Arial" w:hAnsi="Arial" w:cs="Arial"/>
              </w:rPr>
            </w:pPr>
            <w:r>
              <w:rPr>
                <w:rFonts w:ascii="Arial" w:eastAsia="Arial" w:hAnsi="Arial" w:cs="Arial"/>
              </w:rPr>
              <w:t>__________</w:t>
            </w:r>
          </w:p>
        </w:tc>
      </w:tr>
      <w:tr w:rsidTr="0038435D">
        <w:tblPrEx>
          <w:tblW w:w="0" w:type="auto"/>
          <w:tblInd w:w="360" w:type="dxa"/>
          <w:tblCellMar>
            <w:left w:w="0" w:type="dxa"/>
            <w:right w:w="0" w:type="dxa"/>
          </w:tblCellMar>
          <w:tblLook w:val="04A0"/>
        </w:tblPrEx>
        <w:tc>
          <w:tcPr>
            <w:tcW w:w="5069" w:type="dxa"/>
          </w:tcPr>
          <w:p w:rsidR="004B701C" w:rsidP="0038435D">
            <w:pPr>
              <w:rPr>
                <w:rFonts w:ascii="Arial" w:eastAsia="Arial" w:hAnsi="Arial" w:cs="Arial"/>
              </w:rPr>
            </w:pPr>
            <w:r>
              <w:rPr>
                <w:rFonts w:ascii="Arial" w:eastAsia="Arial" w:hAnsi="Arial" w:cs="Arial"/>
              </w:rPr>
              <w:t>OTHER SPECIAL REVENUE FUNDS TOTAL</w:t>
            </w:r>
          </w:p>
        </w:tc>
        <w:tc>
          <w:tcPr>
            <w:tcW w:w="1469" w:type="dxa"/>
          </w:tcPr>
          <w:p w:rsidR="004B701C" w:rsidP="0038435D">
            <w:pPr>
              <w:jc w:val="right"/>
              <w:rPr>
                <w:rFonts w:ascii="Arial" w:eastAsia="Arial" w:hAnsi="Arial" w:cs="Arial"/>
              </w:rPr>
            </w:pPr>
            <w:r>
              <w:rPr>
                <w:rFonts w:ascii="Arial" w:eastAsia="Arial" w:hAnsi="Arial" w:cs="Arial"/>
              </w:rPr>
              <w:t>$500</w:t>
            </w:r>
          </w:p>
        </w:tc>
        <w:tc>
          <w:tcPr>
            <w:tcW w:w="1469" w:type="dxa"/>
          </w:tcPr>
          <w:p w:rsidR="004B701C" w:rsidP="0038435D">
            <w:pPr>
              <w:jc w:val="right"/>
              <w:rPr>
                <w:rFonts w:ascii="Arial" w:eastAsia="Arial" w:hAnsi="Arial" w:cs="Arial"/>
              </w:rPr>
            </w:pPr>
            <w:r>
              <w:rPr>
                <w:rFonts w:ascii="Arial" w:eastAsia="Arial" w:hAnsi="Arial" w:cs="Arial"/>
              </w:rPr>
              <w:t>$500</w:t>
            </w:r>
          </w:p>
        </w:tc>
      </w:tr>
      <w:bookmarkEnd w:id="2"/>
      <w:bookmarkEnd w:id="6"/>
      <w:bookmarkEnd w:id="19"/>
      <w:bookmarkEnd w:id="20"/>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LR0101, item 10 - 132nd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a Take-back and Disposal Program for Firefighting and Fire-suppressing Foam to Which Perfluoroalkyl and Polyfluoroalkyl Substances Have Been Added</w:t>
    </w:r>
  </w:p>
  <w:p>
    <w:pPr>
      <w:suppressLineNumbers/>
      <w:spacing w:before="0" w:after="0"/>
      <w:jc w:val="center"/>
      <w:rPr>
        <w:rFonts w:ascii="Arial" w:eastAsia="Arial" w:hAnsi="Arial" w:cs="Arial"/>
      </w:rPr>
    </w:pPr>
    <w:r>
      <w:rPr>
        <w:rFonts w:ascii="Arial" w:eastAsia="Arial" w:hAnsi="Arial" w:cs="Arial"/>
        <w:sz w:val="22"/>
      </w:rPr>
      <w:t>L.D. 222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8435D"/>
    <w:rsid w:val="003D0121"/>
    <w:rsid w:val="003F2563"/>
    <w:rsid w:val="003F315D"/>
    <w:rsid w:val="00417176"/>
    <w:rsid w:val="00424146"/>
    <w:rsid w:val="004A4378"/>
    <w:rsid w:val="004B701C"/>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