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FF984" w14:textId="487944F6" w:rsidR="00146735" w:rsidRDefault="008F22D9" w:rsidP="008F22D9">
      <w:pPr>
        <w:jc w:val="center"/>
        <w:rPr>
          <w:rFonts w:ascii="Arial" w:hAnsi="Arial" w:cs="Arial"/>
          <w:b/>
          <w:sz w:val="20"/>
        </w:rPr>
      </w:pPr>
      <w:r>
        <w:rPr>
          <w:rFonts w:ascii="Arial" w:hAnsi="Arial" w:cs="Arial"/>
          <w:b/>
          <w:sz w:val="20"/>
        </w:rPr>
        <w:t>132nd MAINE LEGISLATURE</w:t>
      </w:r>
    </w:p>
    <w:p w14:paraId="05659CB3" w14:textId="26393B32" w:rsidR="008F22D9" w:rsidRDefault="008F22D9" w:rsidP="008F22D9">
      <w:pPr>
        <w:jc w:val="center"/>
        <w:rPr>
          <w:rFonts w:ascii="Arial" w:hAnsi="Arial" w:cs="Arial"/>
          <w:b/>
          <w:sz w:val="20"/>
        </w:rPr>
      </w:pPr>
      <w:r>
        <w:rPr>
          <w:rFonts w:ascii="Arial" w:hAnsi="Arial" w:cs="Arial"/>
          <w:b/>
          <w:sz w:val="20"/>
        </w:rPr>
        <w:t>NOTICE OF CONFIRMATION HEARING</w:t>
      </w:r>
    </w:p>
    <w:p w14:paraId="3E2D6C7A" w14:textId="77777777" w:rsidR="008F22D9" w:rsidRDefault="008F22D9" w:rsidP="008F22D9">
      <w:pPr>
        <w:rPr>
          <w:rFonts w:ascii="Arial" w:hAnsi="Arial" w:cs="Arial"/>
          <w:b/>
          <w:sz w:val="20"/>
        </w:rPr>
      </w:pPr>
    </w:p>
    <w:p w14:paraId="01DCE7B1" w14:textId="322A28F7" w:rsidR="008F22D9" w:rsidRDefault="008F22D9" w:rsidP="008F22D9">
      <w:pPr>
        <w:rPr>
          <w:rFonts w:ascii="Arial" w:hAnsi="Arial" w:cs="Arial"/>
          <w:b/>
          <w:sz w:val="20"/>
        </w:rPr>
      </w:pPr>
      <w:r>
        <w:rPr>
          <w:rFonts w:ascii="Arial" w:hAnsi="Arial" w:cs="Arial"/>
          <w:b/>
          <w:sz w:val="20"/>
        </w:rPr>
        <w:t>JOINT STANDING COMMITTEE ON JUDICIARY</w:t>
      </w:r>
    </w:p>
    <w:p w14:paraId="3E6A3B4E" w14:textId="77777777" w:rsidR="008F22D9" w:rsidRDefault="008F22D9" w:rsidP="008F22D9">
      <w:pPr>
        <w:rPr>
          <w:rFonts w:ascii="Arial" w:hAnsi="Arial" w:cs="Arial"/>
          <w:b/>
          <w:sz w:val="20"/>
        </w:rPr>
      </w:pPr>
    </w:p>
    <w:p w14:paraId="0B79A4A3" w14:textId="54ADA7E0" w:rsidR="008F22D9" w:rsidRDefault="008F22D9" w:rsidP="008F22D9">
      <w:pPr>
        <w:rPr>
          <w:rFonts w:ascii="Arial" w:hAnsi="Arial" w:cs="Arial"/>
          <w:sz w:val="20"/>
        </w:rPr>
      </w:pPr>
      <w:r>
        <w:rPr>
          <w:rFonts w:ascii="Arial" w:hAnsi="Arial" w:cs="Arial"/>
          <w:sz w:val="20"/>
        </w:rPr>
        <w:t>Senator Anne Carney, Senate Chair</w:t>
      </w:r>
    </w:p>
    <w:p w14:paraId="2CA45D8B" w14:textId="38A57863" w:rsidR="008F22D9" w:rsidRDefault="008F22D9" w:rsidP="008F22D9">
      <w:pPr>
        <w:rPr>
          <w:rFonts w:ascii="Arial" w:hAnsi="Arial" w:cs="Arial"/>
          <w:sz w:val="20"/>
        </w:rPr>
      </w:pPr>
      <w:r>
        <w:rPr>
          <w:rFonts w:ascii="Arial" w:hAnsi="Arial" w:cs="Arial"/>
          <w:sz w:val="20"/>
        </w:rPr>
        <w:t>Representative Amy D. Kuhn, House Chair</w:t>
      </w:r>
    </w:p>
    <w:p w14:paraId="37DD87DE" w14:textId="77777777" w:rsidR="008F22D9" w:rsidRDefault="008F22D9" w:rsidP="008F22D9">
      <w:pPr>
        <w:rPr>
          <w:rFonts w:ascii="Arial" w:hAnsi="Arial" w:cs="Arial"/>
          <w:sz w:val="20"/>
        </w:rPr>
      </w:pPr>
    </w:p>
    <w:p w14:paraId="74FA1D12" w14:textId="77777777" w:rsidR="008F22D9" w:rsidRDefault="008F22D9" w:rsidP="008F22D9">
      <w:pPr>
        <w:rPr>
          <w:rFonts w:ascii="Arial" w:hAnsi="Arial" w:cs="Arial"/>
          <w:sz w:val="20"/>
        </w:rPr>
      </w:pPr>
    </w:p>
    <w:p w14:paraId="67C211CE" w14:textId="66C5F2AE" w:rsidR="008F22D9" w:rsidRDefault="008F22D9" w:rsidP="008F22D9">
      <w:pPr>
        <w:rPr>
          <w:rFonts w:ascii="Arial" w:hAnsi="Arial" w:cs="Arial"/>
          <w:b/>
          <w:sz w:val="20"/>
        </w:rPr>
      </w:pPr>
      <w:r>
        <w:rPr>
          <w:rFonts w:ascii="Arial" w:hAnsi="Arial" w:cs="Arial"/>
          <w:b/>
          <w:sz w:val="20"/>
        </w:rPr>
        <w:t xml:space="preserve">POSITION:  </w:t>
      </w:r>
      <w:r>
        <w:rPr>
          <w:rFonts w:ascii="Arial" w:hAnsi="Arial" w:cs="Arial"/>
          <w:sz w:val="20"/>
        </w:rPr>
        <w:t>Superior Court Justice</w:t>
      </w:r>
    </w:p>
    <w:p w14:paraId="22A6BD33" w14:textId="4FA91CD8" w:rsidR="008F22D9" w:rsidRDefault="008F22D9" w:rsidP="008F22D9">
      <w:pPr>
        <w:rPr>
          <w:rFonts w:ascii="Arial" w:hAnsi="Arial" w:cs="Arial"/>
          <w:sz w:val="20"/>
        </w:rPr>
      </w:pPr>
      <w:r>
        <w:rPr>
          <w:rFonts w:ascii="Arial" w:hAnsi="Arial" w:cs="Arial"/>
          <w:b/>
          <w:sz w:val="20"/>
        </w:rPr>
        <w:t xml:space="preserve">NOMINEE:  </w:t>
      </w:r>
      <w:r w:rsidR="00BD21BA">
        <w:rPr>
          <w:rFonts w:ascii="Arial" w:hAnsi="Arial" w:cs="Arial"/>
          <w:sz w:val="20"/>
        </w:rPr>
        <w:t xml:space="preserve"> </w:t>
      </w:r>
      <w:r>
        <w:rPr>
          <w:rFonts w:ascii="Arial" w:hAnsi="Arial" w:cs="Arial"/>
          <w:sz w:val="20"/>
        </w:rPr>
        <w:t>Darcie N. McElwee</w:t>
      </w:r>
      <w:r w:rsidR="00BD21BA">
        <w:rPr>
          <w:rFonts w:ascii="Arial" w:hAnsi="Arial" w:cs="Arial"/>
          <w:sz w:val="20"/>
        </w:rPr>
        <w:t>, Esq.</w:t>
      </w:r>
      <w:r>
        <w:rPr>
          <w:rFonts w:ascii="Arial" w:hAnsi="Arial" w:cs="Arial"/>
          <w:sz w:val="20"/>
        </w:rPr>
        <w:t xml:space="preserve"> of Scarborough</w:t>
      </w:r>
    </w:p>
    <w:p w14:paraId="6912E951" w14:textId="77777777" w:rsidR="008F22D9" w:rsidRDefault="008F22D9" w:rsidP="008F22D9">
      <w:pPr>
        <w:rPr>
          <w:rFonts w:ascii="Arial" w:hAnsi="Arial" w:cs="Arial"/>
          <w:sz w:val="20"/>
        </w:rPr>
      </w:pPr>
    </w:p>
    <w:p w14:paraId="7ACCA05D" w14:textId="5113E516" w:rsidR="008F22D9" w:rsidRDefault="008F22D9" w:rsidP="008F22D9">
      <w:pPr>
        <w:rPr>
          <w:rFonts w:ascii="Arial" w:hAnsi="Arial" w:cs="Arial"/>
          <w:sz w:val="20"/>
        </w:rPr>
      </w:pPr>
      <w:r>
        <w:rPr>
          <w:rFonts w:ascii="Arial" w:hAnsi="Arial" w:cs="Arial"/>
          <w:b/>
          <w:sz w:val="20"/>
        </w:rPr>
        <w:t>PUBLIC HEARING:</w:t>
      </w:r>
      <w:r>
        <w:rPr>
          <w:rFonts w:ascii="Arial" w:hAnsi="Arial" w:cs="Arial"/>
          <w:sz w:val="20"/>
        </w:rPr>
        <w:t xml:space="preserve"> Wednesday, March 19, 2025, 11:00 AM, State House, Room 438</w:t>
      </w:r>
    </w:p>
    <w:p w14:paraId="0A7CCC71" w14:textId="77777777" w:rsidR="008F22D9" w:rsidRDefault="008F22D9" w:rsidP="008F22D9">
      <w:pPr>
        <w:rPr>
          <w:rFonts w:ascii="Arial" w:hAnsi="Arial" w:cs="Arial"/>
          <w:sz w:val="20"/>
        </w:rPr>
      </w:pPr>
    </w:p>
    <w:p w14:paraId="6CABD3AA" w14:textId="77777777" w:rsidR="008F22D9" w:rsidRDefault="008F22D9" w:rsidP="008F22D9">
      <w:pPr>
        <w:rPr>
          <w:rFonts w:ascii="Arial" w:hAnsi="Arial" w:cs="Arial"/>
          <w:sz w:val="20"/>
        </w:rPr>
      </w:pPr>
    </w:p>
    <w:p w14:paraId="46AF27B0" w14:textId="489254AB" w:rsidR="008F22D9" w:rsidRDefault="008F22D9" w:rsidP="008F22D9">
      <w:pPr>
        <w:rPr>
          <w:rFonts w:ascii="Arial" w:hAnsi="Arial" w:cs="Arial"/>
          <w:sz w:val="20"/>
        </w:rPr>
      </w:pPr>
      <w:r>
        <w:rPr>
          <w:rFonts w:ascii="Arial" w:hAnsi="Arial" w:cs="Arial"/>
          <w:b/>
          <w:sz w:val="20"/>
        </w:rPr>
        <w:t>POSITION DESCRIPTION:</w:t>
      </w:r>
    </w:p>
    <w:p w14:paraId="5B82A9A0" w14:textId="77777777" w:rsidR="008F22D9" w:rsidRDefault="008F22D9" w:rsidP="008F22D9">
      <w:pPr>
        <w:rPr>
          <w:rFonts w:ascii="Arial" w:hAnsi="Arial" w:cs="Arial"/>
          <w:sz w:val="20"/>
        </w:rPr>
      </w:pPr>
    </w:p>
    <w:p w14:paraId="59AFC5D4" w14:textId="44F62E79" w:rsidR="008F22D9" w:rsidRDefault="008F22D9" w:rsidP="008F22D9">
      <w:pPr>
        <w:rPr>
          <w:rFonts w:ascii="Arial" w:hAnsi="Arial" w:cs="Arial"/>
          <w:sz w:val="20"/>
        </w:rPr>
      </w:pPr>
      <w:r>
        <w:rPr>
          <w:rFonts w:ascii="Arial" w:hAnsi="Arial" w:cs="Arial"/>
          <w:sz w:val="20"/>
        </w:rPr>
        <w:tab/>
        <w:t>The Superior Court (4 MRSA c.3) consists of 18 Justices (including a Chief Justice), and Active Retired Justices as may be appointed.  Superior Court Justices are appointed by the Governor, subject to review by the joint standing committee of the Legislature having jurisdiction over judiciary matters and to confirmation by the Senate.</w:t>
      </w:r>
    </w:p>
    <w:p w14:paraId="434E0F0B" w14:textId="24A3F7A2" w:rsidR="008F22D9" w:rsidRDefault="008F22D9" w:rsidP="008F22D9">
      <w:pPr>
        <w:rPr>
          <w:rFonts w:ascii="Arial" w:hAnsi="Arial" w:cs="Arial"/>
          <w:sz w:val="20"/>
        </w:rPr>
      </w:pPr>
      <w:r>
        <w:rPr>
          <w:rFonts w:ascii="Arial" w:hAnsi="Arial" w:cs="Arial"/>
          <w:sz w:val="20"/>
        </w:rPr>
        <w:tab/>
      </w:r>
    </w:p>
    <w:p w14:paraId="121AADE7" w14:textId="2C7DA723" w:rsidR="008F22D9" w:rsidRDefault="008F22D9" w:rsidP="008F22D9">
      <w:pPr>
        <w:rPr>
          <w:rFonts w:ascii="Arial" w:hAnsi="Arial" w:cs="Arial"/>
          <w:sz w:val="20"/>
        </w:rPr>
      </w:pPr>
      <w:r>
        <w:rPr>
          <w:rFonts w:ascii="Arial" w:hAnsi="Arial" w:cs="Arial"/>
          <w:sz w:val="20"/>
        </w:rPr>
        <w:tab/>
        <w:t xml:space="preserve">The Superior Court has original jurisdiction over all matters, which are not within the exclusive jurisdiction of the District Court. The Superior Court is Maine's trial court of general </w:t>
      </w:r>
      <w:proofErr w:type="gramStart"/>
      <w:r>
        <w:rPr>
          <w:rFonts w:ascii="Arial" w:hAnsi="Arial" w:cs="Arial"/>
          <w:sz w:val="20"/>
        </w:rPr>
        <w:t>jurisdiction, and</w:t>
      </w:r>
      <w:proofErr w:type="gramEnd"/>
      <w:r>
        <w:rPr>
          <w:rFonts w:ascii="Arial" w:hAnsi="Arial" w:cs="Arial"/>
          <w:sz w:val="20"/>
        </w:rPr>
        <w:t xml:space="preserve"> is the only court in which civil jury trials are held.  The Unified Criminal Docket was created in 2017 and merged the Superior and District Courts’ handling of all criminal matters, including jury trials and sentencing. Adult, family, and juvenile "drug treatment courts", domestic violence case coordination courts, Veterans' courts and a co-occurring disorders court are operated within the Unified Criminal Docket.</w:t>
      </w:r>
    </w:p>
    <w:p w14:paraId="68441DC7" w14:textId="18375401" w:rsidR="008F22D9" w:rsidRDefault="008F22D9" w:rsidP="008F22D9">
      <w:pPr>
        <w:rPr>
          <w:rFonts w:ascii="Arial" w:hAnsi="Arial" w:cs="Arial"/>
          <w:sz w:val="20"/>
        </w:rPr>
      </w:pPr>
      <w:r>
        <w:rPr>
          <w:rFonts w:ascii="Arial" w:hAnsi="Arial" w:cs="Arial"/>
          <w:sz w:val="20"/>
        </w:rPr>
        <w:tab/>
      </w:r>
    </w:p>
    <w:p w14:paraId="6317C985" w14:textId="229AE8CE" w:rsidR="008F22D9" w:rsidRDefault="008F22D9" w:rsidP="008F22D9">
      <w:pPr>
        <w:rPr>
          <w:rFonts w:ascii="Arial" w:hAnsi="Arial" w:cs="Arial"/>
          <w:sz w:val="20"/>
        </w:rPr>
      </w:pPr>
      <w:r>
        <w:rPr>
          <w:rFonts w:ascii="Arial" w:hAnsi="Arial" w:cs="Arial"/>
          <w:sz w:val="20"/>
        </w:rPr>
        <w:tab/>
        <w:t xml:space="preserve"> A Superior Court Justice has jurisdiction to determine any civil action, except small claims. In addition, a Superior Court Justice has limited appellate jurisdiction.</w:t>
      </w:r>
    </w:p>
    <w:p w14:paraId="172CCAF0" w14:textId="2C721834" w:rsidR="008F22D9" w:rsidRDefault="008F22D9" w:rsidP="008F22D9">
      <w:pPr>
        <w:rPr>
          <w:rFonts w:ascii="Arial" w:hAnsi="Arial" w:cs="Arial"/>
          <w:sz w:val="20"/>
        </w:rPr>
      </w:pPr>
      <w:r>
        <w:rPr>
          <w:rFonts w:ascii="Arial" w:hAnsi="Arial" w:cs="Arial"/>
          <w:sz w:val="20"/>
        </w:rPr>
        <w:tab/>
      </w:r>
    </w:p>
    <w:p w14:paraId="09EBB384" w14:textId="238A9A50" w:rsidR="008F22D9" w:rsidRDefault="008F22D9" w:rsidP="008F22D9">
      <w:pPr>
        <w:rPr>
          <w:rFonts w:ascii="Arial" w:hAnsi="Arial" w:cs="Arial"/>
          <w:sz w:val="20"/>
        </w:rPr>
      </w:pPr>
      <w:r>
        <w:rPr>
          <w:rFonts w:ascii="Arial" w:hAnsi="Arial" w:cs="Arial"/>
          <w:sz w:val="20"/>
        </w:rPr>
        <w:tab/>
        <w:t xml:space="preserve">A Superior Court Justice may also be assigned by the Chief Justice of the Supreme Judicial Court to sit in the Superior Court or the District Court in any region; and, when so assigned, the Justice may hear all matters and issue all orders, notices, </w:t>
      </w:r>
      <w:proofErr w:type="gramStart"/>
      <w:r>
        <w:rPr>
          <w:rFonts w:ascii="Arial" w:hAnsi="Arial" w:cs="Arial"/>
          <w:sz w:val="20"/>
        </w:rPr>
        <w:t>decrees</w:t>
      </w:r>
      <w:proofErr w:type="gramEnd"/>
      <w:r>
        <w:rPr>
          <w:rFonts w:ascii="Arial" w:hAnsi="Arial" w:cs="Arial"/>
          <w:sz w:val="20"/>
        </w:rPr>
        <w:t xml:space="preserve"> and judgments that any Superior Court Justice or District Court Judge is authorized to hear and issue.</w:t>
      </w:r>
    </w:p>
    <w:p w14:paraId="440DFCA2" w14:textId="67A1B382" w:rsidR="008F22D9" w:rsidRDefault="008F22D9" w:rsidP="008F22D9">
      <w:pPr>
        <w:rPr>
          <w:rFonts w:ascii="Arial" w:hAnsi="Arial" w:cs="Arial"/>
          <w:sz w:val="20"/>
        </w:rPr>
      </w:pPr>
      <w:r>
        <w:rPr>
          <w:rFonts w:ascii="Arial" w:hAnsi="Arial" w:cs="Arial"/>
          <w:sz w:val="20"/>
        </w:rPr>
        <w:tab/>
        <w:t>The term of appointment for Superior Court Justices is 7 years.  The annual salary is set by statute.</w:t>
      </w:r>
    </w:p>
    <w:p w14:paraId="105A74E6" w14:textId="79436581" w:rsidR="008F22D9" w:rsidRDefault="008F22D9" w:rsidP="008F22D9">
      <w:pPr>
        <w:rPr>
          <w:rFonts w:ascii="Arial" w:hAnsi="Arial" w:cs="Arial"/>
          <w:sz w:val="20"/>
        </w:rPr>
      </w:pPr>
      <w:r>
        <w:rPr>
          <w:rFonts w:ascii="Arial" w:hAnsi="Arial" w:cs="Arial"/>
          <w:sz w:val="20"/>
        </w:rPr>
        <w:tab/>
      </w:r>
    </w:p>
    <w:p w14:paraId="16829982" w14:textId="77777777" w:rsidR="008F22D9" w:rsidRDefault="008F22D9" w:rsidP="008F22D9">
      <w:pPr>
        <w:rPr>
          <w:rFonts w:ascii="Arial" w:hAnsi="Arial" w:cs="Arial"/>
          <w:sz w:val="20"/>
        </w:rPr>
      </w:pPr>
    </w:p>
    <w:p w14:paraId="7B1D42B5" w14:textId="77777777" w:rsidR="008F22D9" w:rsidRDefault="008F22D9" w:rsidP="008F22D9">
      <w:pPr>
        <w:rPr>
          <w:rFonts w:ascii="Arial" w:hAnsi="Arial" w:cs="Arial"/>
          <w:sz w:val="20"/>
        </w:rPr>
      </w:pPr>
    </w:p>
    <w:p w14:paraId="6C571D19" w14:textId="65044BCE" w:rsidR="008F22D9" w:rsidRDefault="008F22D9" w:rsidP="008F22D9">
      <w:pPr>
        <w:rPr>
          <w:rFonts w:ascii="Arial" w:hAnsi="Arial" w:cs="Arial"/>
          <w:sz w:val="20"/>
        </w:rPr>
      </w:pPr>
      <w:r>
        <w:rPr>
          <w:rFonts w:ascii="Arial" w:hAnsi="Arial" w:cs="Arial"/>
          <w:sz w:val="20"/>
        </w:rPr>
        <w:t>DEADLINE FOR COMMENTS: Written comments relevant to qualifications of the nominee may be filed with the Legislative Information Office by 9 am on the day of the hearing.</w:t>
      </w:r>
    </w:p>
    <w:p w14:paraId="69F963CA" w14:textId="15AE9BCA" w:rsidR="008F22D9" w:rsidRDefault="008F22D9" w:rsidP="008F22D9">
      <w:pPr>
        <w:rPr>
          <w:rFonts w:ascii="Arial" w:hAnsi="Arial" w:cs="Arial"/>
          <w:sz w:val="20"/>
        </w:rPr>
      </w:pPr>
      <w:r>
        <w:rPr>
          <w:rFonts w:ascii="Arial" w:hAnsi="Arial" w:cs="Arial"/>
          <w:sz w:val="20"/>
        </w:rPr>
        <w:t xml:space="preserve">CONTACT PERSON: Casey Milligan, Legislative Information Office, 100 State House Station, Augusta, Maine 04333-0100; </w:t>
      </w:r>
      <w:proofErr w:type="gramStart"/>
      <w:r>
        <w:rPr>
          <w:rFonts w:ascii="Arial" w:hAnsi="Arial" w:cs="Arial"/>
          <w:sz w:val="20"/>
        </w:rPr>
        <w:t>207-287-1692</w:t>
      </w:r>
      <w:proofErr w:type="gramEnd"/>
    </w:p>
    <w:sectPr w:rsidR="008F22D9" w:rsidSect="007F1995">
      <w:headerReference w:type="default" r:id="rId7"/>
      <w:footerReference w:type="default" r:id="rId8"/>
      <w:pgSz w:w="12240" w:h="15840"/>
      <w:pgMar w:top="864" w:right="1296" w:bottom="72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F481D4" w14:textId="77777777" w:rsidR="008F22D9" w:rsidRDefault="008F22D9" w:rsidP="008F22D9">
      <w:r>
        <w:separator/>
      </w:r>
    </w:p>
  </w:endnote>
  <w:endnote w:type="continuationSeparator" w:id="0">
    <w:p w14:paraId="09C24094" w14:textId="77777777" w:rsidR="008F22D9" w:rsidRDefault="008F22D9" w:rsidP="008F2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A4B6B" w14:textId="77777777" w:rsidR="007F1995" w:rsidRDefault="007F1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E76AD5" w14:textId="77777777" w:rsidR="008F22D9" w:rsidRDefault="008F22D9" w:rsidP="008F22D9">
      <w:r>
        <w:separator/>
      </w:r>
    </w:p>
  </w:footnote>
  <w:footnote w:type="continuationSeparator" w:id="0">
    <w:p w14:paraId="722E8822" w14:textId="77777777" w:rsidR="008F22D9" w:rsidRDefault="008F22D9" w:rsidP="008F2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149AF" w14:textId="77777777" w:rsidR="007F1995" w:rsidRPr="004A245B" w:rsidRDefault="007F1995" w:rsidP="004A24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A7076C"/>
    <w:multiLevelType w:val="hybridMultilevel"/>
    <w:tmpl w:val="B51A4DD8"/>
    <w:lvl w:ilvl="0" w:tplc="B6F457EE">
      <w:start w:val="1"/>
      <w:numFmt w:val="bullet"/>
      <w:lvlText w:val=""/>
      <w:lvlJc w:val="left"/>
      <w:pPr>
        <w:tabs>
          <w:tab w:val="num" w:pos="1800"/>
        </w:tabs>
        <w:ind w:left="1800" w:hanging="360"/>
      </w:pPr>
      <w:rPr>
        <w:rFonts w:ascii="Symbol" w:hAnsi="Symbol" w:hint="default"/>
        <w:color w:val="00000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6A2A2BE5"/>
    <w:multiLevelType w:val="hybridMultilevel"/>
    <w:tmpl w:val="3B80F8BE"/>
    <w:lvl w:ilvl="0" w:tplc="B6F457EE">
      <w:start w:val="1"/>
      <w:numFmt w:val="bullet"/>
      <w:lvlText w:val=""/>
      <w:lvlJc w:val="left"/>
      <w:pPr>
        <w:tabs>
          <w:tab w:val="num" w:pos="1080"/>
        </w:tabs>
        <w:ind w:left="1080" w:hanging="36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62561557">
    <w:abstractNumId w:val="0"/>
  </w:num>
  <w:num w:numId="2" w16cid:durableId="1428044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2D9"/>
    <w:rsid w:val="00146735"/>
    <w:rsid w:val="007F1995"/>
    <w:rsid w:val="008F22D9"/>
    <w:rsid w:val="00BD21BA"/>
    <w:rsid w:val="00FA0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EA3CA"/>
  <w15:chartTrackingRefBased/>
  <w15:docId w15:val="{9E5D060C-704B-46AC-A9DC-AC8870571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A0A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F22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F22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8F22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8F22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8F22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F22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F22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F22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fTemplate">
    <w:name w:val="Conf Template"/>
    <w:basedOn w:val="Heading1"/>
    <w:link w:val="ConfTemplateChar"/>
    <w:autoRedefine/>
    <w:qFormat/>
    <w:rsid w:val="00FA0ADB"/>
    <w:rPr>
      <w:rFonts w:ascii="Times New Roman" w:hAnsi="Times New Roman"/>
      <w:caps/>
    </w:rPr>
  </w:style>
  <w:style w:type="character" w:customStyle="1" w:styleId="ConfTemplateChar">
    <w:name w:val="Conf Template Char"/>
    <w:basedOn w:val="Heading1Char"/>
    <w:link w:val="ConfTemplate"/>
    <w:rsid w:val="00FA0ADB"/>
    <w:rPr>
      <w:rFonts w:ascii="Times New Roman" w:eastAsiaTheme="majorEastAsia" w:hAnsi="Times New Roman" w:cstheme="majorBidi"/>
      <w:caps/>
      <w:color w:val="0F4761" w:themeColor="accent1" w:themeShade="BF"/>
      <w:sz w:val="40"/>
      <w:szCs w:val="40"/>
    </w:rPr>
  </w:style>
  <w:style w:type="character" w:customStyle="1" w:styleId="Heading1Char">
    <w:name w:val="Heading 1 Char"/>
    <w:basedOn w:val="DefaultParagraphFont"/>
    <w:link w:val="Heading1"/>
    <w:uiPriority w:val="9"/>
    <w:rsid w:val="00FA0A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2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2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2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2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2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2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2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2D9"/>
    <w:rPr>
      <w:rFonts w:eastAsiaTheme="majorEastAsia" w:cstheme="majorBidi"/>
      <w:color w:val="272727" w:themeColor="text1" w:themeTint="D8"/>
    </w:rPr>
  </w:style>
  <w:style w:type="paragraph" w:styleId="Title">
    <w:name w:val="Title"/>
    <w:basedOn w:val="Normal"/>
    <w:next w:val="Normal"/>
    <w:link w:val="TitleChar"/>
    <w:uiPriority w:val="10"/>
    <w:qFormat/>
    <w:rsid w:val="008F22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2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2D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2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2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22D9"/>
    <w:rPr>
      <w:i/>
      <w:iCs/>
      <w:color w:val="404040" w:themeColor="text1" w:themeTint="BF"/>
    </w:rPr>
  </w:style>
  <w:style w:type="paragraph" w:styleId="ListParagraph">
    <w:name w:val="List Paragraph"/>
    <w:basedOn w:val="Normal"/>
    <w:uiPriority w:val="34"/>
    <w:qFormat/>
    <w:rsid w:val="008F22D9"/>
    <w:pPr>
      <w:ind w:left="720"/>
      <w:contextualSpacing/>
    </w:pPr>
  </w:style>
  <w:style w:type="character" w:styleId="IntenseEmphasis">
    <w:name w:val="Intense Emphasis"/>
    <w:basedOn w:val="DefaultParagraphFont"/>
    <w:uiPriority w:val="21"/>
    <w:qFormat/>
    <w:rsid w:val="008F22D9"/>
    <w:rPr>
      <w:i/>
      <w:iCs/>
      <w:color w:val="0F4761" w:themeColor="accent1" w:themeShade="BF"/>
    </w:rPr>
  </w:style>
  <w:style w:type="paragraph" w:styleId="IntenseQuote">
    <w:name w:val="Intense Quote"/>
    <w:basedOn w:val="Normal"/>
    <w:next w:val="Normal"/>
    <w:link w:val="IntenseQuoteChar"/>
    <w:uiPriority w:val="30"/>
    <w:qFormat/>
    <w:rsid w:val="008F22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2D9"/>
    <w:rPr>
      <w:i/>
      <w:iCs/>
      <w:color w:val="0F4761" w:themeColor="accent1" w:themeShade="BF"/>
    </w:rPr>
  </w:style>
  <w:style w:type="character" w:styleId="IntenseReference">
    <w:name w:val="Intense Reference"/>
    <w:basedOn w:val="DefaultParagraphFont"/>
    <w:uiPriority w:val="32"/>
    <w:qFormat/>
    <w:rsid w:val="008F22D9"/>
    <w:rPr>
      <w:b/>
      <w:bCs/>
      <w:smallCaps/>
      <w:color w:val="0F4761" w:themeColor="accent1" w:themeShade="BF"/>
      <w:spacing w:val="5"/>
    </w:rPr>
  </w:style>
  <w:style w:type="paragraph" w:styleId="Date">
    <w:name w:val="Date"/>
    <w:link w:val="DateChar"/>
    <w:rsid w:val="008F22D9"/>
    <w:pPr>
      <w:tabs>
        <w:tab w:val="left" w:pos="6120"/>
      </w:tabs>
      <w:overflowPunct w:val="0"/>
      <w:autoSpaceDE w:val="0"/>
      <w:autoSpaceDN w:val="0"/>
      <w:adjustRightInd w:val="0"/>
      <w:textAlignment w:val="baseline"/>
    </w:pPr>
    <w:rPr>
      <w:rFonts w:ascii="Arial" w:eastAsia="Times New Roman" w:hAnsi="Arial" w:cs="Times New Roman"/>
      <w:noProof/>
      <w:kern w:val="0"/>
      <w:szCs w:val="20"/>
      <w14:ligatures w14:val="none"/>
    </w:rPr>
  </w:style>
  <w:style w:type="character" w:customStyle="1" w:styleId="DateChar">
    <w:name w:val="Date Char"/>
    <w:basedOn w:val="DefaultParagraphFont"/>
    <w:link w:val="Date"/>
    <w:rsid w:val="008F22D9"/>
    <w:rPr>
      <w:rFonts w:ascii="Arial" w:eastAsia="Times New Roman" w:hAnsi="Arial" w:cs="Times New Roman"/>
      <w:noProof/>
      <w:kern w:val="0"/>
      <w:szCs w:val="20"/>
      <w14:ligatures w14:val="none"/>
    </w:rPr>
  </w:style>
  <w:style w:type="paragraph" w:customStyle="1" w:styleId="Address">
    <w:name w:val="Address"/>
    <w:rsid w:val="008F22D9"/>
    <w:pPr>
      <w:overflowPunct w:val="0"/>
      <w:autoSpaceDE w:val="0"/>
      <w:autoSpaceDN w:val="0"/>
      <w:adjustRightInd w:val="0"/>
      <w:textAlignment w:val="baseline"/>
    </w:pPr>
    <w:rPr>
      <w:rFonts w:ascii="Arial" w:eastAsia="Times New Roman" w:hAnsi="Arial" w:cs="Times New Roman"/>
      <w:noProof/>
      <w:kern w:val="0"/>
      <w:szCs w:val="20"/>
      <w14:ligatures w14:val="none"/>
    </w:rPr>
  </w:style>
  <w:style w:type="paragraph" w:customStyle="1" w:styleId="Center">
    <w:name w:val="Center"/>
    <w:rsid w:val="008F22D9"/>
    <w:pPr>
      <w:overflowPunct w:val="0"/>
      <w:autoSpaceDE w:val="0"/>
      <w:autoSpaceDN w:val="0"/>
      <w:adjustRightInd w:val="0"/>
      <w:jc w:val="center"/>
      <w:textAlignment w:val="baseline"/>
    </w:pPr>
    <w:rPr>
      <w:rFonts w:ascii="Arial" w:eastAsia="Times New Roman" w:hAnsi="Arial" w:cs="Times New Roman"/>
      <w:noProof/>
      <w:kern w:val="0"/>
      <w:szCs w:val="20"/>
      <w14:ligatures w14:val="none"/>
    </w:rPr>
  </w:style>
  <w:style w:type="paragraph" w:customStyle="1" w:styleId="Body">
    <w:name w:val="Body"/>
    <w:rsid w:val="008F22D9"/>
    <w:pPr>
      <w:overflowPunct w:val="0"/>
      <w:autoSpaceDE w:val="0"/>
      <w:autoSpaceDN w:val="0"/>
      <w:adjustRightInd w:val="0"/>
      <w:textAlignment w:val="baseline"/>
    </w:pPr>
    <w:rPr>
      <w:rFonts w:ascii="Arial" w:eastAsia="Times New Roman" w:hAnsi="Arial" w:cs="Times New Roman"/>
      <w:noProof/>
      <w:kern w:val="0"/>
      <w:szCs w:val="20"/>
      <w14:ligatures w14:val="none"/>
    </w:rPr>
  </w:style>
  <w:style w:type="paragraph" w:customStyle="1" w:styleId="Close">
    <w:name w:val="Close"/>
    <w:rsid w:val="008F22D9"/>
    <w:pPr>
      <w:tabs>
        <w:tab w:val="left" w:pos="7560"/>
      </w:tabs>
      <w:overflowPunct w:val="0"/>
      <w:autoSpaceDE w:val="0"/>
      <w:autoSpaceDN w:val="0"/>
      <w:adjustRightInd w:val="0"/>
      <w:textAlignment w:val="baseline"/>
    </w:pPr>
    <w:rPr>
      <w:rFonts w:ascii="Arial" w:eastAsia="Times New Roman" w:hAnsi="Arial" w:cs="Times New Roman"/>
      <w:noProof/>
      <w:kern w:val="0"/>
      <w:szCs w:val="20"/>
      <w14:ligatures w14:val="none"/>
    </w:rPr>
  </w:style>
  <w:style w:type="paragraph" w:customStyle="1" w:styleId="TextInsert">
    <w:name w:val="Text Insert"/>
    <w:rsid w:val="008F22D9"/>
    <w:pPr>
      <w:overflowPunct w:val="0"/>
      <w:autoSpaceDE w:val="0"/>
      <w:autoSpaceDN w:val="0"/>
      <w:adjustRightInd w:val="0"/>
      <w:spacing w:after="240"/>
      <w:ind w:firstLine="634"/>
      <w:textAlignment w:val="baseline"/>
    </w:pPr>
    <w:rPr>
      <w:rFonts w:ascii="Arial" w:eastAsia="Times New Roman" w:hAnsi="Arial" w:cs="Times New Roman"/>
      <w:noProof/>
      <w:kern w:val="0"/>
      <w:szCs w:val="20"/>
      <w14:ligatures w14:val="none"/>
    </w:rPr>
  </w:style>
  <w:style w:type="paragraph" w:customStyle="1" w:styleId="BodyBigAfter">
    <w:name w:val="BodyBigAfter"/>
    <w:rsid w:val="008F22D9"/>
    <w:pPr>
      <w:overflowPunct w:val="0"/>
      <w:autoSpaceDE w:val="0"/>
      <w:autoSpaceDN w:val="0"/>
      <w:adjustRightInd w:val="0"/>
      <w:spacing w:after="120"/>
      <w:textAlignment w:val="baseline"/>
    </w:pPr>
    <w:rPr>
      <w:rFonts w:ascii="Arial" w:eastAsia="Times New Roman" w:hAnsi="Arial" w:cs="Times New Roman"/>
      <w:noProof/>
      <w:kern w:val="0"/>
      <w:szCs w:val="20"/>
      <w14:ligatures w14:val="none"/>
    </w:rPr>
  </w:style>
  <w:style w:type="paragraph" w:styleId="Header">
    <w:name w:val="header"/>
    <w:basedOn w:val="Normal"/>
    <w:link w:val="HeaderChar"/>
    <w:rsid w:val="008F22D9"/>
    <w:pPr>
      <w:tabs>
        <w:tab w:val="center" w:pos="4320"/>
        <w:tab w:val="right" w:pos="8640"/>
      </w:tabs>
    </w:pPr>
    <w:rPr>
      <w:rFonts w:ascii="Book Antiqua" w:eastAsia="Times New Roman" w:hAnsi="Book Antiqua" w:cs="Times New Roman"/>
      <w:kern w:val="0"/>
      <w:sz w:val="20"/>
      <w:szCs w:val="20"/>
      <w14:ligatures w14:val="none"/>
    </w:rPr>
  </w:style>
  <w:style w:type="character" w:customStyle="1" w:styleId="HeaderChar">
    <w:name w:val="Header Char"/>
    <w:basedOn w:val="DefaultParagraphFont"/>
    <w:link w:val="Header"/>
    <w:rsid w:val="008F22D9"/>
    <w:rPr>
      <w:rFonts w:ascii="Book Antiqua" w:eastAsia="Times New Roman" w:hAnsi="Book Antiqua" w:cs="Times New Roman"/>
      <w:kern w:val="0"/>
      <w:sz w:val="20"/>
      <w:szCs w:val="20"/>
      <w14:ligatures w14:val="none"/>
    </w:rPr>
  </w:style>
  <w:style w:type="paragraph" w:styleId="Footer">
    <w:name w:val="footer"/>
    <w:basedOn w:val="Normal"/>
    <w:link w:val="FooterChar"/>
    <w:rsid w:val="008F22D9"/>
    <w:pPr>
      <w:tabs>
        <w:tab w:val="center" w:pos="4320"/>
        <w:tab w:val="right" w:pos="8640"/>
      </w:tabs>
    </w:pPr>
    <w:rPr>
      <w:rFonts w:ascii="Book Antiqua" w:eastAsia="Times New Roman" w:hAnsi="Book Antiqua" w:cs="Times New Roman"/>
      <w:kern w:val="0"/>
      <w:sz w:val="20"/>
      <w:szCs w:val="20"/>
      <w14:ligatures w14:val="none"/>
    </w:rPr>
  </w:style>
  <w:style w:type="character" w:customStyle="1" w:styleId="FooterChar">
    <w:name w:val="Footer Char"/>
    <w:basedOn w:val="DefaultParagraphFont"/>
    <w:link w:val="Footer"/>
    <w:rsid w:val="008F22D9"/>
    <w:rPr>
      <w:rFonts w:ascii="Book Antiqua" w:eastAsia="Times New Roman" w:hAnsi="Book Antiqua" w:cs="Times New Roman"/>
      <w:kern w:val="0"/>
      <w:sz w:val="20"/>
      <w:szCs w:val="20"/>
      <w14:ligatures w14:val="none"/>
    </w:rPr>
  </w:style>
  <w:style w:type="paragraph" w:customStyle="1" w:styleId="TextBody">
    <w:name w:val="Text Body"/>
    <w:basedOn w:val="Normal"/>
    <w:rsid w:val="008F22D9"/>
    <w:pPr>
      <w:overflowPunct w:val="0"/>
      <w:autoSpaceDE w:val="0"/>
      <w:autoSpaceDN w:val="0"/>
      <w:adjustRightInd w:val="0"/>
      <w:spacing w:after="240"/>
      <w:textAlignment w:val="baseline"/>
    </w:pPr>
    <w:rPr>
      <w:rFonts w:ascii="Times New Roman" w:eastAsia="Times New Roman" w:hAnsi="Times New Roman" w:cs="Times New Roman"/>
      <w:kern w:val="0"/>
      <w:szCs w:val="20"/>
      <w14:ligatures w14:val="none"/>
    </w:rPr>
  </w:style>
  <w:style w:type="character" w:customStyle="1" w:styleId="BoldMe">
    <w:name w:val="BoldMe"/>
    <w:rsid w:val="008F22D9"/>
    <w:rPr>
      <w:b/>
    </w:rPr>
  </w:style>
  <w:style w:type="paragraph" w:customStyle="1" w:styleId="BodyIndent2">
    <w:name w:val="BodyIndent2"/>
    <w:rsid w:val="008F22D9"/>
    <w:pPr>
      <w:overflowPunct w:val="0"/>
      <w:autoSpaceDE w:val="0"/>
      <w:autoSpaceDN w:val="0"/>
      <w:adjustRightInd w:val="0"/>
      <w:spacing w:after="240"/>
      <w:ind w:left="1440" w:hanging="360"/>
      <w:textAlignment w:val="baseline"/>
    </w:pPr>
    <w:rPr>
      <w:rFonts w:ascii="Times New Roman" w:eastAsia="Times New Roman" w:hAnsi="Times New Roman" w:cs="Times New Roman"/>
      <w:noProof/>
      <w:kern w:val="0"/>
      <w:szCs w:val="20"/>
      <w14:ligatures w14:val="none"/>
    </w:rPr>
  </w:style>
  <w:style w:type="paragraph" w:customStyle="1" w:styleId="BodyIndent">
    <w:name w:val="BodyIndent"/>
    <w:rsid w:val="008F22D9"/>
    <w:pPr>
      <w:overflowPunct w:val="0"/>
      <w:autoSpaceDE w:val="0"/>
      <w:autoSpaceDN w:val="0"/>
      <w:adjustRightInd w:val="0"/>
      <w:spacing w:after="240"/>
      <w:ind w:left="720" w:hanging="360"/>
      <w:textAlignment w:val="baseline"/>
    </w:pPr>
    <w:rPr>
      <w:rFonts w:ascii="Times New Roman" w:eastAsia="Times New Roman" w:hAnsi="Times New Roman" w:cs="Times New Roman"/>
      <w:noProof/>
      <w:kern w:val="0"/>
      <w:szCs w:val="20"/>
      <w14:ligatures w14:val="none"/>
    </w:rPr>
  </w:style>
  <w:style w:type="paragraph" w:customStyle="1" w:styleId="BodyIndentFix">
    <w:name w:val="BodyIndentFix"/>
    <w:rsid w:val="008F22D9"/>
    <w:pPr>
      <w:overflowPunct w:val="0"/>
      <w:autoSpaceDE w:val="0"/>
      <w:autoSpaceDN w:val="0"/>
      <w:adjustRightInd w:val="0"/>
      <w:spacing w:after="240"/>
      <w:ind w:left="720" w:hanging="450"/>
      <w:textAlignment w:val="baseline"/>
    </w:pPr>
    <w:rPr>
      <w:rFonts w:ascii="Times New Roman" w:eastAsia="Times New Roman" w:hAnsi="Times New Roman" w:cs="Times New Roman"/>
      <w:noProof/>
      <w:kern w:val="0"/>
      <w:szCs w:val="20"/>
      <w14:ligatures w14:val="none"/>
    </w:rPr>
  </w:style>
  <w:style w:type="paragraph" w:customStyle="1" w:styleId="BodyIndentBullet">
    <w:name w:val="BodyIndentBullet"/>
    <w:rsid w:val="008F22D9"/>
    <w:pPr>
      <w:overflowPunct w:val="0"/>
      <w:autoSpaceDE w:val="0"/>
      <w:autoSpaceDN w:val="0"/>
      <w:adjustRightInd w:val="0"/>
      <w:spacing w:after="240"/>
      <w:ind w:left="1080" w:hanging="360"/>
      <w:textAlignment w:val="baseline"/>
    </w:pPr>
    <w:rPr>
      <w:rFonts w:ascii="Times New Roman" w:eastAsia="Times New Roman" w:hAnsi="Times New Roman" w:cs="Times New Roman"/>
      <w:noProof/>
      <w:kern w:val="0"/>
      <w:szCs w:val="20"/>
      <w14:ligatures w14:val="none"/>
    </w:rPr>
  </w:style>
  <w:style w:type="paragraph" w:customStyle="1" w:styleId="TextBodyIndent">
    <w:name w:val="TextBodyIndent"/>
    <w:rsid w:val="008F22D9"/>
    <w:pPr>
      <w:overflowPunct w:val="0"/>
      <w:autoSpaceDE w:val="0"/>
      <w:autoSpaceDN w:val="0"/>
      <w:adjustRightInd w:val="0"/>
      <w:ind w:left="360"/>
      <w:textAlignment w:val="baseline"/>
    </w:pPr>
    <w:rPr>
      <w:rFonts w:ascii="Times New Roman" w:eastAsia="Times New Roman" w:hAnsi="Times New Roman" w:cs="Times New Roman"/>
      <w:noProof/>
      <w:kern w:val="0"/>
      <w:szCs w:val="20"/>
      <w14:ligatures w14:val="none"/>
    </w:rPr>
  </w:style>
  <w:style w:type="paragraph" w:customStyle="1" w:styleId="TextBodyBefore">
    <w:name w:val="TextBodyBefore"/>
    <w:basedOn w:val="TextBody"/>
    <w:rsid w:val="008F22D9"/>
    <w:pPr>
      <w:spacing w:before="240" w:after="0"/>
    </w:pPr>
  </w:style>
  <w:style w:type="paragraph" w:customStyle="1" w:styleId="TextBodyNoSpace">
    <w:name w:val="TextBodyNoSpace"/>
    <w:rsid w:val="008F22D9"/>
    <w:pPr>
      <w:overflowPunct w:val="0"/>
      <w:autoSpaceDE w:val="0"/>
      <w:autoSpaceDN w:val="0"/>
      <w:adjustRightInd w:val="0"/>
      <w:textAlignment w:val="baseline"/>
    </w:pPr>
    <w:rPr>
      <w:rFonts w:ascii="Times New Roman" w:eastAsia="Times New Roman" w:hAnsi="Times New Roman" w:cs="Times New Roman"/>
      <w:noProof/>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1926</Characters>
  <Application>Microsoft Office Word</Application>
  <DocSecurity>0</DocSecurity>
  <Lines>16</Lines>
  <Paragraphs>4</Paragraphs>
  <ScaleCrop>false</ScaleCrop>
  <Company>Maine State Legislature</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Milligan, Casey</dc:creator>
  <cp:keywords/>
  <dc:description/>
  <cp:lastModifiedBy>Milligan, Casey</cp:lastModifiedBy>
  <cp:revision>2</cp:revision>
  <dcterms:created xsi:type="dcterms:W3CDTF">2025-03-07T21:16:00Z</dcterms:created>
  <dcterms:modified xsi:type="dcterms:W3CDTF">2025-03-07T21:16:00Z</dcterms:modified>
</cp:coreProperties>
</file>