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w:t>
        <w:t xml:space="preserve">.  </w:t>
      </w:r>
      <w:r>
        <w:rPr>
          <w:b/>
        </w:rPr>
        <w:t xml:space="preserve">Misbranding</w:t>
      </w:r>
    </w:p>
    <w:p>
      <w:pPr>
        <w:jc w:val="both"/>
        <w:spacing w:before="100" w:after="100"/>
        <w:ind w:start="360"/>
        <w:ind w:firstLine="360"/>
      </w:pPr>
      <w:r>
        <w:rPr>
          <w:b/>
        </w:rPr>
        <w:t>1</w:t>
        <w:t xml:space="preserve">.  </w:t>
      </w:r>
      <w:r>
        <w:rPr>
          <w:b/>
        </w:rPr>
        <w:t xml:space="preserve">Conditions deemed misbranding.</w:t>
        <w:t xml:space="preserve"> </w:t>
      </w:r>
      <w:r>
        <w:t xml:space="preserve"> </w:t>
      </w:r>
      <w:r>
        <w:t xml:space="preserve">A commercial feed shall be deemed to be misbranded:</w:t>
      </w:r>
    </w:p>
    <w:p>
      <w:pPr>
        <w:jc w:val="both"/>
        <w:spacing w:before="100" w:after="0"/>
        <w:ind w:start="720"/>
      </w:pPr>
      <w:r>
        <w:rPr/>
        <w:t>A</w:t>
        <w:t xml:space="preserve">.  </w:t>
      </w:r>
      <w:r>
        <w:rPr/>
      </w:r>
      <w:r>
        <w:t xml:space="preserve">If its labeling is false or misleading in any particular;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If it is distributed under the name of another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If it is not labeled as required in </w:t>
      </w:r>
      <w:r>
        <w:t>section 715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If it purports to be or is represented as a commercial feed, or if it purports to contain or is represented as containing a commercial feed ingredient, unless such commercial feed or feed ingredient conforms to the definition, if any, prescribed by regulation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E</w:t>
        <w:t xml:space="preserve">.  </w:t>
      </w:r>
      <w:r>
        <w:rPr/>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§716. Misbranding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 Misbranding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§716. MISBRANDING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