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Disposition of funds</w:t>
      </w:r>
    </w:p>
    <w:p>
      <w:pPr>
        <w:jc w:val="both"/>
        <w:spacing w:before="100" w:after="100"/>
        <w:ind w:start="360"/>
        <w:ind w:firstLine="360"/>
      </w:pPr>
      <w:r>
        <w:rPr/>
      </w:r>
      <w:r>
        <w:rPr/>
      </w:r>
      <w:r>
        <w:t xml:space="preserve">All money received by the board under this subchapter must be deposited in the State Treasury to the credit of a special fund to be used for carrying out the provisions of this subchapter and </w:t>
      </w:r>
      <w:r>
        <w:t>Title 22, chapter 258‑A</w:t>
      </w:r>
      <w:r>
        <w:t xml:space="preserve">, Board of Pesticides Control, and for such other expenses related to insect and pest management as provided by law.  Positions that are allocated to the fund but that do not perform functions specifically assigned to the board in this subchapter and </w:t>
      </w:r>
      <w:r>
        <w:t>Title 22, chapter 258‑A</w:t>
      </w:r>
      <w:r>
        <w:t xml:space="preserve"> remain under supervision and management of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620, §21 (AMD); PL 2011, c. 657, Pt. W, §5 (REV).]</w:t>
      </w:r>
    </w:p>
    <w:p>
      <w:pPr>
        <w:jc w:val="both"/>
        <w:spacing w:before="100" w:after="100"/>
        <w:ind w:start="360"/>
        <w:ind w:firstLine="360"/>
      </w:pPr>
      <w:r>
        <w:rPr/>
      </w:r>
      <w:r>
        <w:rPr/>
      </w:r>
      <w:r>
        <w:t xml:space="preserve">The State Controller is authorized to advance up to $500,000 from the Board of Pesticides Control account to the Animal Welfare Fund during any state fiscal year if requested in writing by the commissioner.  The funds must be used to meet expenditures of the animal welfare program within the department.  The funds must be returned to the account before the close of the state fiscal year in which the advance was made.</w:t>
      </w:r>
      <w:r>
        <w:t xml:space="preserve">  </w:t>
      </w:r>
      <w:r xmlns:wp="http://schemas.openxmlformats.org/drawingml/2010/wordprocessingDrawing" xmlns:w15="http://schemas.microsoft.com/office/word/2012/wordml">
        <w:rPr>
          <w:rFonts w:ascii="Arial" w:hAnsi="Arial" w:cs="Arial"/>
          <w:sz w:val="22"/>
          <w:szCs w:val="22"/>
        </w:rPr>
        <w:t xml:space="preserve">[PL 2007, c. 702,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644, §§2,8 (AMD). PL 1989, c. 878, §E20 (AMD). PL 1993, c. 410, §S2 (AMD). PL 2005, c. 620, §21 (AMD). PL 2007, c. 702,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 Disposition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Disposition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§621. DISPOSITION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