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§§1-4 (AMD). PL 2017, c. 278, §§2, 3 (AMD). PL 2017, c. 309, §§1-5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