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Request</w:t>
      </w:r>
    </w:p>
    <w:p>
      <w:pPr>
        <w:jc w:val="both"/>
        <w:spacing w:before="100" w:after="100"/>
        <w:ind w:start="360"/>
        <w:ind w:firstLine="360"/>
      </w:pPr>
      <w:r>
        <w:rPr/>
      </w:r>
      <w:r>
        <w:rPr/>
      </w:r>
      <w:r>
        <w:t xml:space="preserve">Within the meaning of </w:t>
      </w:r>
      <w:r>
        <w:t>section 2317, subsection 2</w:t>
      </w:r>
      <w:r>
        <w:t xml:space="preserve"> or </w:t>
      </w:r>
      <w:r>
        <w:t>section 2319, subsection 1</w:t>
      </w:r>
      <w:r>
        <w:t xml:space="preserve">, a request or application for assistance from the insurance fund may be made by the Governor whenever in the Governor's judgment the conditions qualifying this State for assistance exist and it would be in the best interest of this State to make the request.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§2326.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§2326.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