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Reportable diseases</w:t>
      </w:r>
    </w:p>
    <w:p>
      <w:pPr>
        <w:jc w:val="both"/>
        <w:spacing w:before="100" w:after="100"/>
        <w:ind w:start="360"/>
        <w:ind w:firstLine="360"/>
      </w:pPr>
      <w:r>
        <w:rPr/>
      </w:r>
      <w:r>
        <w:rPr/>
      </w:r>
      <w:r>
        <w:t xml:space="preserve">The commissioner shall, by rule adopted in a manner consistent with the Maine Administrative Procedure Act, determine which diseases or pathogens must be classified as "reportable." The form of transmissible spongiform encephalopathy known as chronic wasting disease is reportable.  It is a violation of this chapter for any owner, agent of any owner, veterinarian or other person having knowledge of the existence of such disease or pathogen or the exposure of domestic animals to such disease or pathogen not to properly report the existence of such disease or pathogen or exposure of domestic animals to the department immediately after knowledge of such disease or pathogen or exposure of domestic animals to such disease or pathogen.</w:t>
      </w:r>
      <w:r>
        <w:t xml:space="preserve">  </w:t>
      </w:r>
      <w:r xmlns:wp="http://schemas.openxmlformats.org/drawingml/2010/wordprocessingDrawing" xmlns:w15="http://schemas.microsoft.com/office/word/2012/wordml">
        <w:rPr>
          <w:rFonts w:ascii="Arial" w:hAnsi="Arial" w:cs="Arial"/>
          <w:sz w:val="22"/>
          <w:szCs w:val="22"/>
        </w:rPr>
        <w:t xml:space="preserve">[PL 2001, c. 572, §32 (RPR).]</w:t>
      </w:r>
    </w:p>
    <w:p>
      <w:pPr>
        <w:jc w:val="both"/>
        <w:spacing w:before="100" w:after="100"/>
        <w:ind w:start="360"/>
        <w:ind w:firstLine="360"/>
      </w:pPr>
      <w:r>
        <w:rPr/>
      </w:r>
      <w:r>
        <w:rPr/>
      </w:r>
      <w:r>
        <w:t xml:space="preserve">It is a violation of this chapter for any person to cause a domestic animal to be driven, trucked or otherwise moved intrastate or interstate when that person has knowledge that the animal is infected with or has been exposed to a reportable disease or pathogen.  It is a violation of this chapter for any person to cause a domestic animal to be driven, trucked or otherwise moved intrastate or interstate when that person has knowledge that the animal has been treated with a vaccine or other substance that might make that animal capable of spreading a reportable disease or pathogen among susceptible domestic animals.  A domestic animal infected with or exposed to a reportable disease or pathogen may be moved only under the direction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572, §32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§7 (AMD). PL 1977, c. 694, §122 (AMD). PL 1999, c. 765, §6 (AMD). PL 2001, c. 572, §32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§1801. Reportable diseases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Reportable diseases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§1801. REPORTABLE DISEASES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