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 (AMD). PL 2005, c. 294, §15 (RP). PL 2005, c. 382,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