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18502</w:t>
        <w:t xml:space="preserve">.  </w:t>
      </w:r>
      <w:r>
        <w:rPr>
          <w:b/>
        </w:rPr>
        <w:t xml:space="preserve">Application</w:t>
      </w:r>
    </w:p>
    <w:p>
      <w:pPr>
        <w:jc w:val="both"/>
        <w:spacing w:before="100" w:after="100"/>
        <w:ind w:start="360"/>
        <w:ind w:firstLine="360"/>
      </w:pPr>
      <w:r>
        <w:rPr>
          <w:b/>
        </w:rPr>
        <w:t>1</w:t>
        <w:t xml:space="preserve">.  </w:t>
      </w:r>
      <w:r>
        <w:rPr>
          <w:b/>
        </w:rPr>
        <w:t xml:space="preserve">Written application.</w:t>
        <w:t xml:space="preserve"> </w:t>
      </w:r>
      <w:r>
        <w:t xml:space="preserve"> </w:t>
      </w:r>
      <w:r>
        <w:t xml:space="preserve">In order to receive a benefit under this article, the person must apply in writing to the chief executive officer in the format specified by the chief executive officer.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277, §31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§31 (AMD); PL 2021, c. 548, §45 (REV).]</w:t>
      </w:r>
    </w:p>
    <w:p>
      <w:pPr>
        <w:jc w:val="both"/>
        <w:spacing w:before="100" w:after="0"/>
        <w:ind w:start="360"/>
        <w:ind w:firstLine="360"/>
      </w:pPr>
      <w:r>
        <w:rPr>
          <w:b/>
        </w:rPr>
        <w:t>2</w:t>
        <w:t xml:space="preserve">.  </w:t>
      </w:r>
      <w:r>
        <w:rPr>
          <w:b/>
        </w:rPr>
        <w:t xml:space="preserve">Approval.</w:t>
        <w:t xml:space="preserve"> </w:t>
      </w:r>
      <w:r>
        <w:t xml:space="preserve"> </w:t>
      </w:r>
      <w:r>
        <w:t xml:space="preserve">The written application must be approved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643, §17 (AMD). PL 2017, c. 88, §30 (AMD). PL 2021, c. 277, §31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§18502.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§18502.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