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§484-B. ADDITIONAL STANDARDS FOR QUARRIES AND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