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Landlord access to tenant bill payment information; applicable to all sewer districts</w:t>
      </w:r>
    </w:p>
    <w:p>
      <w:pPr>
        <w:jc w:val="both"/>
        <w:spacing w:before="100" w:after="100"/>
        <w:ind w:start="360"/>
        <w:ind w:firstLine="360"/>
      </w:pPr>
      <w:r>
        <w:rPr/>
      </w:r>
      <w:r>
        <w:rPr/>
      </w:r>
      <w:r>
        <w:t xml:space="preserve">If a tenant is billed for sewer service provided to property rented by the tenant and nonpayment for the service may result in a lien against the property, the sewer district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11 and specifically provides that this subsection or former section 1252, subsection 11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Landlord access to tenant bill payment information; applicable to all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Landlord access to tenant bill payment information; applicable to all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§1051. LANDLORD ACCESS TO TENANT BILL PAYMENT INFORMATION; APPLICABLE TO ALL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