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§181-A. Authority to activate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§181-A. Authority to activate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§181-A. AUTHORITY TO ACTIVATE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