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w:t>
        <w:t xml:space="preserve">.  </w:t>
      </w:r>
      <w:r>
        <w:rPr>
          <w:b/>
        </w:rPr>
        <w:t xml:space="preserve">Application of U.S. Manual for Courts-Martial</w:t>
      </w:r>
    </w:p>
    <w:p>
      <w:pPr>
        <w:jc w:val="both"/>
        <w:spacing w:before="100" w:after="100"/>
        <w:ind w:start="360"/>
      </w:pPr>
      <w:r>
        <w:rPr>
          <w:b/>
        </w:rPr>
        <w:t>(REALLOCATED FROM TITLE 25, SECTION 1313)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1971, c. 622, §80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§1313. Application of U.S. Manual for Courts-Martial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 Application of U.S. Manual for Courts-Martial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§1313. APPLICATION OF U.S. MANUAL FOR COURTS-MARTIAL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