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948</w:t>
        <w:t xml:space="preserve">.  </w:t>
      </w:r>
      <w:r>
        <w:rPr>
          <w:b/>
        </w:rPr>
        <w:t xml:space="preserve">Supplemental assessments; enforcement of lien</w:t>
      </w:r>
    </w:p>
    <w:p>
      <w:pPr>
        <w:jc w:val="both"/>
        <w:spacing w:before="100" w:after="100"/>
        <w:ind w:start="360"/>
        <w:ind w:firstLine="360"/>
      </w:pPr>
      <w:r>
        <w:rPr/>
      </w:r>
      <w:r>
        <w:rPr/>
      </w:r>
      <w:r>
        <w:t xml:space="preserve">When taxes are assessed under </w:t>
      </w:r>
      <w:r>
        <w:t>section 713</w:t>
      </w:r>
      <w:r>
        <w:t xml:space="preserve">, the lien upon real estate shall be enforced as provided in </w:t>
      </w:r>
      <w:r>
        <w:t>sections 941</w:t>
      </w:r>
      <w:r>
        <w:t xml:space="preserve"> to </w:t>
      </w:r>
      <w:r>
        <w:t>943</w:t>
      </w:r>
      <w:r>
        <w:t xml:space="preserve">; except that if real estate shall have been transferred to a bona fide purchaser for value since the assessment was omitted or invalidly made with the transfer duly recorded, prior to the date of the supplemental assessment, the lien shall terminate.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§948. Supplemental assessments;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§948. Supplemental assessments;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§948. SUPPLEMENTAL ASSESSMENTS;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