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575</w:t>
        <w:t xml:space="preserve">.  </w:t>
      </w:r>
      <w:r>
        <w:rPr>
          <w:b/>
        </w:rPr>
        <w:t xml:space="preserve">Administration; rules</w:t>
      </w:r>
    </w:p>
    <w:p>
      <w:pPr>
        <w:jc w:val="both"/>
        <w:spacing w:before="100" w:after="100"/>
        <w:ind w:start="360"/>
        <w:ind w:firstLine="360"/>
      </w:pPr>
      <w:r>
        <w:rPr/>
      </w:r>
      <w:r>
        <w:rPr/>
      </w:r>
      <w:r>
        <w:t xml:space="preserve">The State Tax Assessor may adopt rules necessary to carry out this subchapter.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627,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460, §18 (AMD). PL 1985, c. 785, §A109 (AMD). PL 2007, c. 627,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§575.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§575.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