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5219-GG</w:t>
        <w:t xml:space="preserve">.  </w:t>
      </w:r>
      <w:r>
        <w:rPr>
          <w:b/>
        </w:rPr>
        <w:t xml:space="preserve">Maine capital investment credit</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the taxable year beginning in 2011 or 2012 is allowed a credit against the taxes imposed by this Part in an amount equal to 10% of the amount claimed for the taxable year under the Code, Section 168(k) with respect to that property, except for excluded property under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331, Pt. C, §36 (RP); PL 2013, c. 331, Pt. C, §41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§36 (AMD); PL 2013, c. 331, Pt. C, §41 (AFF).]</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B</w:t>
        <w:t xml:space="preserve">.  </w:t>
      </w:r>
      <w:r>
        <w:rPr/>
      </w:r>
      <w:r>
        <w:t xml:space="preserve">Property owned by a person that provides radio paging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C</w:t>
        <w:t xml:space="preserve">.  </w:t>
      </w:r>
      <w:r>
        <w:rPr/>
      </w:r>
      <w:r>
        <w:t xml:space="preserve">Property owned by a person that provides mobile telecommunications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D</w:t>
        <w:t xml:space="preserve">.  </w:t>
      </w:r>
      <w:r>
        <w:rPr/>
      </w:r>
      <w:r>
        <w:t xml:space="preserve">Property owned by a cable television company as defined by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F</w:t>
        <w:t xml:space="preserve">.  </w:t>
      </w:r>
      <w:r>
        <w:rPr/>
      </w:r>
      <w:r>
        <w:t xml:space="preserve">Property owned by a person that provides multichannel, multipoint television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w:t>
      </w:r>
      <w:r>
        <w:t xml:space="preserve">  </w:t>
      </w:r>
      <w:r xmlns:wp="http://schemas.openxmlformats.org/drawingml/2010/wordprocessingDrawing" xmlns:w15="http://schemas.microsoft.com/office/word/2012/wordml">
        <w:rPr>
          <w:rFonts w:ascii="Arial" w:hAnsi="Arial" w:cs="Arial"/>
          <w:sz w:val="22"/>
          <w:szCs w:val="22"/>
        </w:rPr>
        <w:t xml:space="preserve">[PL 2011, c. 548, §32 (NEW); PL 2011, c. 548,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(RPR); PL 2011, c. 548, §36 (AFF).]</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 1</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(RPR); PL 2011, c. 548, §36 (AFF).]</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FF</w:t>
      </w:r>
      <w:r>
        <w:t xml:space="preserve"> and </w:t>
      </w:r>
      <w:r>
        <w:t>section 5200‑A, subsection 1, paragraph Y</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(RPR); PL 2011, c. 548, §36 (AFF).]</w:t>
      </w:r>
    </w:p>
    <w:p>
      <w:pPr>
        <w:jc w:val="both"/>
        <w:spacing w:before="100" w:after="0"/>
        <w:ind w:start="360"/>
        <w:ind w:firstLine="360"/>
      </w:pPr>
      <w:r>
        <w:rPr>
          <w:b/>
        </w:rPr>
        <w:t>5</w:t>
        <w:t xml:space="preserve">.  </w:t>
      </w:r>
      <w:r>
        <w:rPr>
          <w:b/>
        </w:rPr>
        <w:t xml:space="preserve">Pass-through entity; allocation of the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 PL 2011, c. 548, §36 (AFF).]</w:t>
      </w:r>
    </w:p>
    <w:p>
      <w:pPr>
        <w:jc w:val="both"/>
        <w:spacing w:before="100" w:after="0"/>
        <w:ind w:start="360"/>
        <w:ind w:firstLine="360"/>
      </w:pPr>
      <w:r>
        <w:rPr>
          <w:b/>
        </w:rPr>
        <w:t>6</w:t>
        <w:t xml:space="preserve">.  </w:t>
      </w:r>
      <w:r>
        <w:rPr>
          <w:b/>
        </w:rPr>
        <w:t xml:space="preserve">Credit refundable.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 PL 2011, c. 548, §36 (AFF).]</w:t>
      </w:r>
    </w:p>
    <w:p>
      <w:pPr>
        <w:jc w:val="both"/>
        <w:spacing w:before="100" w:after="0"/>
        <w:ind w:start="360"/>
        <w:ind w:firstLine="360"/>
      </w:pPr>
      <w:r>
        <w:rPr>
          <w:b/>
        </w:rPr>
        <w:t>7</w:t>
        <w:t xml:space="preserve">.  </w:t>
      </w:r>
      <w:r>
        <w:rPr>
          <w:b/>
        </w:rPr>
        <w:t xml:space="preserve">Recapture of credits.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 PL 2011, c. 548,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O, §17 (NEW). PL 2011, c. 380, Pt. O, §18 (AFF). PL 2011, c. 380, Pt. Q, §6 (NEW). PL 2011, c. 380, Pt. Q, §7 (AFF). PL 2011, c. 548, §32 (RPR). PL 2011, c. 548, §36 (AFF). PL 2011, c. 563, §13 (AMD). PL 2013, c. 331, Pt. C, §36 (AMD). PL 2013, c. 331, Pt. C,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§5219-GG. Maine capital investment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§5219-GG. Maine capital investment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§5219-GG. MAINE CAPITAL INVESTMENT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