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1144</w:t>
        <w:t xml:space="preserve">.  </w:t>
      </w:r>
      <w:r>
        <w:rPr>
          <w:b/>
        </w:rPr>
        <w:t xml:space="preserve">Real estate subject to county taxes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271, §4 (AMD). PL 1971, c. 616, §13 (RP). PL 2005, c. 609, §2 (NEW). PL 2007, c. 466, Pt. A, §59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§1144. Real estate subject to county taxes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§1144. Real estate subject to county taxes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§1144. REAL ESTATE SUBJECT TO COUNTY TAXES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