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Contract to provide medical care</w:t>
      </w:r>
    </w:p>
    <w:p>
      <w:pPr>
        <w:jc w:val="both"/>
        <w:spacing w:before="100" w:after="100"/>
        <w:ind w:start="360"/>
        <w:ind w:firstLine="360"/>
      </w:pPr>
      <w:r>
        <w:rPr/>
      </w:r>
      <w:r>
        <w:rPr/>
      </w:r>
      <w:r>
        <w:t xml:space="preserve">Any individual medical provider contracting with the department when providing medical care within a correctional or detention facility pursuant to </w:t>
      </w:r>
      <w:r>
        <w:t>section 3031, subsection 2</w:t>
      </w:r>
      <w:r>
        <w:t xml:space="preserve"> under a contract with the department is deemed for purposes of civil liability to be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Contract to provide medical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Contract to provide medical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§1213. CONTRACT TO PROVIDE MEDICAL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