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Out-of-state prison-made goods</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prohibit the sale within the State of any goods, wares or merchandise produced in penal institutions outside of the State and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w:pPr>
        <w:jc w:val="both"/>
        <w:spacing w:before="100" w:after="100"/>
        <w:ind w:start="360"/>
        <w:ind w:firstLine="360"/>
      </w:pPr>
      <w:r>
        <w:rPr>
          <w:b/>
        </w:rPr>
        <w:t>2</w:t>
        <w:t xml:space="preserve">.  </w:t>
      </w:r>
      <w:r>
        <w:rPr>
          <w:b/>
        </w:rPr>
        <w:t xml:space="preserve">Prohibited acts; fines.</w:t>
        <w:t xml:space="preserve"> </w:t>
      </w:r>
      <w:r>
        <w:t xml:space="preserve"> </w:t>
      </w:r>
      <w:r>
        <w:t xml:space="preserve">Prohibited acts and fines under this section are governed as follows.</w:t>
      </w:r>
    </w:p>
    <w:p>
      <w:pPr>
        <w:jc w:val="both"/>
        <w:spacing w:before="100" w:after="0"/>
        <w:ind w:start="720"/>
      </w:pPr>
      <w:r>
        <w:rPr/>
        <w:t>A</w:t>
        <w:t xml:space="preserve">.  </w:t>
      </w:r>
      <w:r>
        <w:rPr/>
      </w:r>
      <w:r>
        <w:t xml:space="preserve">A person is guilty of a civil violation of sale of out-of-state prison-made goods if that person sells within this State any goods, wares or merchandise manufactured, produced or mined, wholly or in part, by nonparoled convicts or prisoners, or in any penal or reformatory institution, in another state and transported into this State.</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w:pPr>
        <w:jc w:val="both"/>
        <w:spacing w:before="100" w:after="0"/>
        <w:ind w:start="720"/>
      </w:pPr>
      <w:r>
        <w:rPr/>
        <w:t>B</w:t>
        <w:t xml:space="preserve">.  </w:t>
      </w:r>
      <w:r>
        <w:rPr/>
      </w:r>
      <w:r>
        <w:t xml:space="preserve">Upon conviction of a civil violation of sale of out-of-state prison-made goods, a person shall pay a fine.  The fine may be any amount which does not exceed twice the monetary value of the transaction.</w:t>
      </w:r>
      <w:r>
        <w:t xml:space="preserve">  </w:t>
      </w:r>
      <w:r xmlns:wp="http://schemas.openxmlformats.org/drawingml/2010/wordprocessingDrawing" xmlns:w15="http://schemas.microsoft.com/office/word/2012/wordml">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 9 and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§§9,59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§1207. Out-of-state prison-made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Out-of-state prison-made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§1207. OUT-OF-STATE PRISON-MADE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